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8BED" w14:textId="77777777" w:rsidR="00FE3457" w:rsidRDefault="005268B9">
      <w:pPr>
        <w:pStyle w:val="Heading2"/>
        <w:rPr>
          <w:rFonts w:ascii="Calibri" w:hAnsi="Calibri"/>
          <w:i w:val="0"/>
        </w:rPr>
      </w:pPr>
      <w:r>
        <w:rPr>
          <w:rFonts w:ascii="Calibri" w:hAnsi="Calibri"/>
          <w:i w:val="0"/>
        </w:rPr>
        <w:t>CR-05 - Goals and Outcomes</w:t>
      </w:r>
    </w:p>
    <w:p w14:paraId="10DBCEDA" w14:textId="77777777" w:rsidR="00FE3457" w:rsidRDefault="005268B9">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5B9B4D2C" w14:textId="77777777" w:rsidR="00FE3457" w:rsidRDefault="005268B9">
      <w:pPr>
        <w:keepNext/>
        <w:widowControl w:val="0"/>
        <w:spacing w:after="0" w:line="240" w:lineRule="auto"/>
      </w:pPr>
      <w:r>
        <w:t>This could be an overview that includes major initiatives and highlights that were proposed and executed throughout the program year.</w:t>
      </w:r>
    </w:p>
    <w:p w14:paraId="6FEC71DD" w14:textId="77777777" w:rsidR="00FE3457" w:rsidRDefault="00FE3457">
      <w:pPr>
        <w:keepNext/>
        <w:widowControl w:val="0"/>
        <w:spacing w:after="0" w:line="240" w:lineRule="auto"/>
        <w:rPr>
          <w:b/>
        </w:rPr>
      </w:pPr>
    </w:p>
    <w:p w14:paraId="5CD9262B" w14:textId="77777777" w:rsidR="00E2285C" w:rsidRDefault="00730313">
      <w:pPr>
        <w:widowControl w:val="0"/>
        <w:spacing w:beforeAutospacing="1" w:afterAutospacing="1"/>
        <w:rPr>
          <w:szCs w:val="24"/>
        </w:rPr>
      </w:pPr>
      <w:r>
        <w:t xml:space="preserve">Program Year 2024 (PY24) took place from July 1, 2024- June 30, 2025.  </w:t>
      </w:r>
      <w:proofErr w:type="gramStart"/>
      <w:r>
        <w:t>In reality, this</w:t>
      </w:r>
      <w:proofErr w:type="gramEnd"/>
      <w:r>
        <w:t xml:space="preserve"> PY24 report also covers a period through December 31, 2025, given delays in getting Program Year 2025 off the ground, due to Congressional budgeting delays, the longest federal government shutdown on record, fiscal uncertainty, and HUD staffing changes, along with City factors.</w:t>
      </w:r>
    </w:p>
    <w:p w14:paraId="119A1544" w14:textId="77777777" w:rsidR="00E2285C" w:rsidRDefault="00730313">
      <w:pPr>
        <w:widowControl w:val="0"/>
        <w:spacing w:beforeAutospacing="1" w:afterAutospacing="1"/>
        <w:rPr>
          <w:szCs w:val="24"/>
        </w:rPr>
      </w:pPr>
      <w:r>
        <w:t>During the past Program Year, the Community Development Department depleted the last remaining CDBG-CV funds through the CARES Act to prevent, prepare for, and respond to coronavirus. </w:t>
      </w:r>
    </w:p>
    <w:p w14:paraId="5F2E9CC8" w14:textId="77777777" w:rsidR="00E2285C" w:rsidRDefault="00730313">
      <w:pPr>
        <w:widowControl w:val="0"/>
        <w:spacing w:beforeAutospacing="1" w:afterAutospacing="1"/>
        <w:rPr>
          <w:szCs w:val="24"/>
        </w:rPr>
      </w:pPr>
      <w:r>
        <w:t>During this year, largely due to the overheated and tight housing market, the City received a record amount of Program Income, over $410,000 in all. </w:t>
      </w:r>
    </w:p>
    <w:p w14:paraId="1A417EA6" w14:textId="77777777" w:rsidR="00E2285C" w:rsidRDefault="00730313">
      <w:pPr>
        <w:widowControl w:val="0"/>
        <w:spacing w:beforeAutospacing="1" w:afterAutospacing="1"/>
        <w:rPr>
          <w:szCs w:val="24"/>
        </w:rPr>
      </w:pPr>
      <w:r>
        <w:t>Most CDBG Public Services subrecipients met or exceeded anticipated Plan goals.  A well-led Inspectional Services Department nearly met lofty Code Enforcement goals, with 1839 visits within the Target Area</w:t>
      </w:r>
      <w:r>
        <w:rPr>
          <w:i/>
        </w:rPr>
        <w:t xml:space="preserve">. </w:t>
      </w:r>
      <w:r>
        <w:t>Many homelessness goals were met or exceeded by talented and dedicated non-profit partners.</w:t>
      </w:r>
      <w:r>
        <w:rPr>
          <w:i/>
        </w:rPr>
        <w:t> </w:t>
      </w:r>
      <w:r>
        <w:t> The City also spent the greatest amount of CDBG funds on housing rehabilitation, as it traditionally has in prior years.</w:t>
      </w:r>
    </w:p>
    <w:p w14:paraId="5DA45F8C" w14:textId="77777777" w:rsidR="00E2285C" w:rsidRDefault="00730313">
      <w:pPr>
        <w:widowControl w:val="0"/>
        <w:spacing w:beforeAutospacing="1" w:afterAutospacing="1"/>
        <w:rPr>
          <w:szCs w:val="24"/>
        </w:rPr>
      </w:pPr>
      <w:r>
        <w:t xml:space="preserve">Other CDBG goal metrics were not close to being met, particularly </w:t>
      </w:r>
      <w:proofErr w:type="gramStart"/>
      <w:r>
        <w:t>in regards to</w:t>
      </w:r>
      <w:proofErr w:type="gramEnd"/>
      <w:r>
        <w:t xml:space="preserve"> Housing Production, Economic Development and Public Improvements project goals.  Due to dramatically rising housing prices, the City was fortunate to qualify three (3) applicants (due to the 80% Area Median Income limitations) for CDBG-funded First Time Home Buyer project activities, in line with reduced estimates. </w:t>
      </w:r>
    </w:p>
    <w:p w14:paraId="05F27560" w14:textId="77777777" w:rsidR="00E2285C" w:rsidRDefault="00730313">
      <w:pPr>
        <w:widowControl w:val="0"/>
        <w:spacing w:beforeAutospacing="1" w:afterAutospacing="1"/>
        <w:rPr>
          <w:szCs w:val="24"/>
        </w:rPr>
      </w:pPr>
      <w:r>
        <w:t xml:space="preserve">The City managed to stay within the confines of its 20% Administrative activities </w:t>
      </w:r>
      <w:proofErr w:type="gramStart"/>
      <w:r>
        <w:t>cap</w:t>
      </w:r>
      <w:proofErr w:type="gramEnd"/>
      <w:r>
        <w:t>, spending 18.84% of this past year's CDBG allocation on administrative and planning activities and salaries</w:t>
      </w:r>
      <w:r>
        <w:rPr>
          <w:i/>
        </w:rPr>
        <w:t xml:space="preserve">.  </w:t>
      </w:r>
      <w:r>
        <w:t>The City also stayed below the 15% maximum threshold for Public Services.</w:t>
      </w:r>
    </w:p>
    <w:p w14:paraId="418D8C7D" w14:textId="77777777" w:rsidR="00E2285C" w:rsidRDefault="00730313">
      <w:pPr>
        <w:widowControl w:val="0"/>
        <w:spacing w:beforeAutospacing="1" w:afterAutospacing="1"/>
        <w:rPr>
          <w:szCs w:val="24"/>
        </w:rPr>
      </w:pPr>
      <w:r>
        <w:t>The City exceeded its goal of having 80%</w:t>
      </w:r>
      <w:r>
        <w:rPr>
          <w:i/>
        </w:rPr>
        <w:t xml:space="preserve"> of</w:t>
      </w:r>
      <w:r>
        <w:t xml:space="preserve"> PY24 CDBG funds spent within the CDBG Target Area (over 85.8%) and/or on Low-Income clients (over 98.8%).</w:t>
      </w:r>
    </w:p>
    <w:p w14:paraId="6E535C1E" w14:textId="77777777" w:rsidR="00FE3457" w:rsidRDefault="005268B9">
      <w:pPr>
        <w:keepNext/>
        <w:widowControl w:val="0"/>
        <w:spacing w:after="0" w:line="240" w:lineRule="auto"/>
        <w:rPr>
          <w:b/>
          <w:sz w:val="24"/>
          <w:szCs w:val="24"/>
        </w:rPr>
      </w:pPr>
      <w:r>
        <w:rPr>
          <w:b/>
          <w:sz w:val="24"/>
          <w:szCs w:val="24"/>
        </w:rPr>
        <w:t xml:space="preserve">Comparison of the proposed versus actual outcomes for each outcome measure submitted with the consolidated plan and </w:t>
      </w:r>
      <w:r>
        <w:rPr>
          <w:b/>
          <w:sz w:val="24"/>
          <w:szCs w:val="24"/>
        </w:rPr>
        <w:lastRenderedPageBreak/>
        <w:t>explain, if applicable, why progress was not made toward meeting goals and objectives.  91.520(g)</w:t>
      </w:r>
    </w:p>
    <w:p w14:paraId="0F01DA65" w14:textId="77777777" w:rsidR="00FE3457" w:rsidRDefault="005268B9">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552412F5" w14:textId="77777777" w:rsidR="00FE3457" w:rsidRDefault="00FE3457">
      <w:pPr>
        <w:widowControl w:val="0"/>
        <w:rPr>
          <w:b/>
          <w:sz w:val="24"/>
          <w:szCs w:val="24"/>
        </w:rPr>
      </w:pPr>
    </w:p>
    <w:tbl>
      <w:tblPr>
        <w:tblStyle w:val="TableGrid"/>
        <w:tblW w:w="13728" w:type="dxa"/>
        <w:tblInd w:w="0" w:type="dxa"/>
        <w:tblLook w:val="04A0" w:firstRow="1" w:lastRow="0" w:firstColumn="1" w:lastColumn="0" w:noHBand="0" w:noVBand="1"/>
      </w:tblPr>
      <w:tblGrid>
        <w:gridCol w:w="1654"/>
        <w:gridCol w:w="1466"/>
        <w:gridCol w:w="898"/>
        <w:gridCol w:w="2533"/>
        <w:gridCol w:w="1282"/>
        <w:gridCol w:w="979"/>
        <w:gridCol w:w="953"/>
        <w:gridCol w:w="1025"/>
        <w:gridCol w:w="979"/>
        <w:gridCol w:w="934"/>
        <w:gridCol w:w="1025"/>
      </w:tblGrid>
      <w:tr w:rsidR="00FE3457" w14:paraId="774C92BF" w14:textId="77777777">
        <w:tc>
          <w:tcPr>
            <w:tcW w:w="1248" w:type="dxa"/>
          </w:tcPr>
          <w:p w14:paraId="63F818AB" w14:textId="77777777" w:rsidR="00FE3457" w:rsidRDefault="005268B9">
            <w:pPr>
              <w:keepNext/>
              <w:widowControl w:val="0"/>
              <w:spacing w:after="0" w:line="240" w:lineRule="auto"/>
              <w:rPr>
                <w:b/>
              </w:rPr>
            </w:pPr>
            <w:r>
              <w:rPr>
                <w:b/>
              </w:rPr>
              <w:t>Goal</w:t>
            </w:r>
          </w:p>
        </w:tc>
        <w:tc>
          <w:tcPr>
            <w:tcW w:w="1248" w:type="dxa"/>
          </w:tcPr>
          <w:p w14:paraId="3FD745E4" w14:textId="77777777" w:rsidR="00FE3457" w:rsidRDefault="005268B9">
            <w:pPr>
              <w:keepNext/>
              <w:widowControl w:val="0"/>
              <w:spacing w:after="0" w:line="240" w:lineRule="auto"/>
              <w:rPr>
                <w:b/>
              </w:rPr>
            </w:pPr>
            <w:r>
              <w:rPr>
                <w:b/>
              </w:rPr>
              <w:t>Category</w:t>
            </w:r>
          </w:p>
        </w:tc>
        <w:tc>
          <w:tcPr>
            <w:tcW w:w="1248" w:type="dxa"/>
          </w:tcPr>
          <w:p w14:paraId="40A119A3" w14:textId="77777777" w:rsidR="00FE3457" w:rsidRDefault="005268B9">
            <w:pPr>
              <w:keepNext/>
              <w:widowControl w:val="0"/>
              <w:spacing w:after="0" w:line="240" w:lineRule="auto"/>
              <w:rPr>
                <w:b/>
              </w:rPr>
            </w:pPr>
            <w:r>
              <w:rPr>
                <w:b/>
              </w:rPr>
              <w:t>Source / Amount</w:t>
            </w:r>
          </w:p>
        </w:tc>
        <w:tc>
          <w:tcPr>
            <w:tcW w:w="1248" w:type="dxa"/>
          </w:tcPr>
          <w:p w14:paraId="7F616BEF" w14:textId="77777777" w:rsidR="00FE3457" w:rsidRDefault="005268B9">
            <w:pPr>
              <w:keepNext/>
              <w:widowControl w:val="0"/>
              <w:spacing w:after="0" w:line="240" w:lineRule="auto"/>
              <w:rPr>
                <w:b/>
              </w:rPr>
            </w:pPr>
            <w:r>
              <w:rPr>
                <w:b/>
              </w:rPr>
              <w:t>Indicator</w:t>
            </w:r>
          </w:p>
        </w:tc>
        <w:tc>
          <w:tcPr>
            <w:tcW w:w="1248" w:type="dxa"/>
          </w:tcPr>
          <w:p w14:paraId="5776BB57" w14:textId="77777777" w:rsidR="00FE3457" w:rsidRDefault="005268B9">
            <w:pPr>
              <w:keepNext/>
              <w:widowControl w:val="0"/>
              <w:spacing w:after="0" w:line="240" w:lineRule="auto"/>
              <w:rPr>
                <w:b/>
              </w:rPr>
            </w:pPr>
            <w:r>
              <w:rPr>
                <w:b/>
              </w:rPr>
              <w:t>Unit of Measure</w:t>
            </w:r>
          </w:p>
        </w:tc>
        <w:tc>
          <w:tcPr>
            <w:tcW w:w="1248" w:type="dxa"/>
          </w:tcPr>
          <w:p w14:paraId="00FDDAD7" w14:textId="77777777" w:rsidR="00FE3457" w:rsidRDefault="005268B9">
            <w:pPr>
              <w:keepNext/>
              <w:widowControl w:val="0"/>
              <w:spacing w:after="0" w:line="240" w:lineRule="auto"/>
              <w:rPr>
                <w:b/>
              </w:rPr>
            </w:pPr>
            <w:r>
              <w:rPr>
                <w:b/>
              </w:rPr>
              <w:t>Expected – Strategic Plan</w:t>
            </w:r>
          </w:p>
        </w:tc>
        <w:tc>
          <w:tcPr>
            <w:tcW w:w="1248" w:type="dxa"/>
          </w:tcPr>
          <w:p w14:paraId="25C1229A" w14:textId="77777777" w:rsidR="00FE3457" w:rsidRDefault="005268B9">
            <w:pPr>
              <w:keepNext/>
              <w:widowControl w:val="0"/>
              <w:spacing w:after="0" w:line="240" w:lineRule="auto"/>
              <w:rPr>
                <w:b/>
              </w:rPr>
            </w:pPr>
            <w:r>
              <w:rPr>
                <w:b/>
              </w:rPr>
              <w:t>Actual – Strategic Plan</w:t>
            </w:r>
          </w:p>
        </w:tc>
        <w:tc>
          <w:tcPr>
            <w:tcW w:w="1248" w:type="dxa"/>
          </w:tcPr>
          <w:p w14:paraId="7D594622" w14:textId="77777777" w:rsidR="00FE3457" w:rsidRDefault="005268B9">
            <w:pPr>
              <w:keepNext/>
              <w:widowControl w:val="0"/>
              <w:spacing w:after="0" w:line="240" w:lineRule="auto"/>
              <w:rPr>
                <w:b/>
              </w:rPr>
            </w:pPr>
            <w:r>
              <w:rPr>
                <w:b/>
              </w:rPr>
              <w:t>Percent Complete</w:t>
            </w:r>
          </w:p>
        </w:tc>
        <w:tc>
          <w:tcPr>
            <w:tcW w:w="1248" w:type="dxa"/>
          </w:tcPr>
          <w:p w14:paraId="64E48A09" w14:textId="77777777" w:rsidR="00FE3457" w:rsidRDefault="005268B9">
            <w:pPr>
              <w:keepNext/>
              <w:widowControl w:val="0"/>
              <w:spacing w:after="0" w:line="240" w:lineRule="auto"/>
              <w:rPr>
                <w:b/>
              </w:rPr>
            </w:pPr>
            <w:r>
              <w:rPr>
                <w:b/>
              </w:rPr>
              <w:t>Expected – Program Year</w:t>
            </w:r>
          </w:p>
        </w:tc>
        <w:tc>
          <w:tcPr>
            <w:tcW w:w="1248" w:type="dxa"/>
          </w:tcPr>
          <w:p w14:paraId="2E907148" w14:textId="77777777" w:rsidR="00FE3457" w:rsidRDefault="005268B9">
            <w:pPr>
              <w:keepNext/>
              <w:widowControl w:val="0"/>
              <w:spacing w:after="0" w:line="240" w:lineRule="auto"/>
              <w:rPr>
                <w:b/>
              </w:rPr>
            </w:pPr>
            <w:r>
              <w:rPr>
                <w:b/>
              </w:rPr>
              <w:t>Actual – Program Year</w:t>
            </w:r>
          </w:p>
        </w:tc>
        <w:tc>
          <w:tcPr>
            <w:tcW w:w="1248" w:type="dxa"/>
          </w:tcPr>
          <w:p w14:paraId="7656B437" w14:textId="77777777" w:rsidR="00FE3457" w:rsidRDefault="005268B9">
            <w:pPr>
              <w:keepNext/>
              <w:widowControl w:val="0"/>
              <w:spacing w:after="0" w:line="240" w:lineRule="auto"/>
              <w:rPr>
                <w:b/>
              </w:rPr>
            </w:pPr>
            <w:r>
              <w:rPr>
                <w:b/>
              </w:rPr>
              <w:t>Percent Complete</w:t>
            </w:r>
          </w:p>
        </w:tc>
      </w:tr>
      <w:tr w:rsidR="00E2285C" w14:paraId="640EAC05" w14:textId="77777777">
        <w:trPr>
          <w:cantSplit/>
        </w:trPr>
        <w:tc>
          <w:tcPr>
            <w:tcW w:w="0" w:type="auto"/>
            <w:vAlign w:val="center"/>
          </w:tcPr>
          <w:p w14:paraId="4FA69176" w14:textId="77777777" w:rsidR="00E2285C" w:rsidRDefault="00730313">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4427413F" w14:textId="77777777" w:rsidR="00E2285C" w:rsidRDefault="00730313">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30FEDE83" w14:textId="77777777" w:rsidR="00E2285C" w:rsidRDefault="00730313">
            <w:pPr>
              <w:spacing w:beforeAutospacing="1" w:afterAutospacing="1"/>
            </w:pPr>
            <w:r>
              <w:rPr>
                <w:color w:val="000000"/>
                <w:sz w:val="22"/>
              </w:rPr>
              <w:t>CDBG: $</w:t>
            </w:r>
          </w:p>
        </w:tc>
        <w:tc>
          <w:tcPr>
            <w:tcW w:w="0" w:type="auto"/>
            <w:vAlign w:val="center"/>
          </w:tcPr>
          <w:p w14:paraId="3CAB0C26" w14:textId="77777777" w:rsidR="00E2285C" w:rsidRDefault="00730313">
            <w:pPr>
              <w:spacing w:beforeAutospacing="1" w:afterAutospacing="1"/>
            </w:pPr>
            <w:r>
              <w:rPr>
                <w:color w:val="000000"/>
                <w:sz w:val="22"/>
              </w:rPr>
              <w:t>Rental units constructed</w:t>
            </w:r>
          </w:p>
        </w:tc>
        <w:tc>
          <w:tcPr>
            <w:tcW w:w="0" w:type="auto"/>
            <w:vAlign w:val="center"/>
          </w:tcPr>
          <w:p w14:paraId="08FDEF5D" w14:textId="77777777" w:rsidR="00E2285C" w:rsidRDefault="00730313">
            <w:pPr>
              <w:spacing w:beforeAutospacing="1" w:afterAutospacing="1"/>
            </w:pPr>
            <w:r>
              <w:rPr>
                <w:color w:val="000000"/>
                <w:sz w:val="22"/>
              </w:rPr>
              <w:t>Household Housing Unit</w:t>
            </w:r>
          </w:p>
        </w:tc>
        <w:tc>
          <w:tcPr>
            <w:tcW w:w="0" w:type="auto"/>
            <w:vAlign w:val="center"/>
          </w:tcPr>
          <w:p w14:paraId="10D4894C" w14:textId="77777777" w:rsidR="00E2285C" w:rsidRDefault="00730313">
            <w:pPr>
              <w:spacing w:beforeAutospacing="1" w:afterAutospacing="1"/>
            </w:pPr>
            <w:r>
              <w:rPr>
                <w:color w:val="000000"/>
                <w:sz w:val="22"/>
              </w:rPr>
              <w:t>400</w:t>
            </w:r>
          </w:p>
        </w:tc>
        <w:tc>
          <w:tcPr>
            <w:tcW w:w="0" w:type="auto"/>
            <w:vAlign w:val="center"/>
          </w:tcPr>
          <w:p w14:paraId="44A3D92A" w14:textId="77777777" w:rsidR="00E2285C" w:rsidRDefault="00730313">
            <w:pPr>
              <w:spacing w:beforeAutospacing="1" w:afterAutospacing="1"/>
            </w:pPr>
            <w:r>
              <w:rPr>
                <w:color w:val="000000"/>
                <w:sz w:val="22"/>
              </w:rPr>
              <w:t>49</w:t>
            </w:r>
          </w:p>
        </w:tc>
        <w:tc>
          <w:tcPr>
            <w:tcW w:w="0" w:type="auto"/>
            <w:vAlign w:val="center"/>
          </w:tcPr>
          <w:p w14:paraId="5CCEEEB5" w14:textId="77777777" w:rsidR="00E2285C" w:rsidRDefault="00730313">
            <w:pPr>
              <w:spacing w:beforeAutospacing="1" w:afterAutospacing="1"/>
            </w:pPr>
            <w:r>
              <w:rPr>
                <w:color w:val="000000"/>
                <w:sz w:val="22"/>
              </w:rPr>
              <w:t xml:space="preserve">        12.25%</w:t>
            </w:r>
          </w:p>
        </w:tc>
        <w:tc>
          <w:tcPr>
            <w:tcW w:w="0" w:type="auto"/>
            <w:vAlign w:val="center"/>
          </w:tcPr>
          <w:p w14:paraId="09A8766A" w14:textId="77777777" w:rsidR="00E2285C" w:rsidRDefault="00730313">
            <w:pPr>
              <w:spacing w:beforeAutospacing="1" w:afterAutospacing="1"/>
            </w:pPr>
            <w:r>
              <w:rPr>
                <w:color w:val="000000"/>
                <w:sz w:val="22"/>
              </w:rPr>
              <w:t>1</w:t>
            </w:r>
          </w:p>
        </w:tc>
        <w:tc>
          <w:tcPr>
            <w:tcW w:w="0" w:type="auto"/>
            <w:vAlign w:val="center"/>
          </w:tcPr>
          <w:p w14:paraId="1ED38020" w14:textId="77777777" w:rsidR="00E2285C" w:rsidRDefault="00730313">
            <w:pPr>
              <w:spacing w:beforeAutospacing="1" w:afterAutospacing="1"/>
            </w:pPr>
            <w:r>
              <w:rPr>
                <w:color w:val="000000"/>
                <w:sz w:val="22"/>
              </w:rPr>
              <w:t>1</w:t>
            </w:r>
          </w:p>
        </w:tc>
        <w:tc>
          <w:tcPr>
            <w:tcW w:w="0" w:type="auto"/>
            <w:vAlign w:val="center"/>
          </w:tcPr>
          <w:p w14:paraId="32E70745" w14:textId="77777777" w:rsidR="00E2285C" w:rsidRDefault="00730313">
            <w:pPr>
              <w:spacing w:beforeAutospacing="1" w:afterAutospacing="1"/>
            </w:pPr>
            <w:r>
              <w:rPr>
                <w:color w:val="000000"/>
                <w:sz w:val="22"/>
              </w:rPr>
              <w:t xml:space="preserve">       100.00%</w:t>
            </w:r>
          </w:p>
        </w:tc>
      </w:tr>
      <w:tr w:rsidR="00E2285C" w14:paraId="4855B396" w14:textId="77777777">
        <w:trPr>
          <w:cantSplit/>
        </w:trPr>
        <w:tc>
          <w:tcPr>
            <w:tcW w:w="0" w:type="auto"/>
            <w:vAlign w:val="center"/>
          </w:tcPr>
          <w:p w14:paraId="21EA205F" w14:textId="77777777" w:rsidR="00E2285C" w:rsidRDefault="00730313">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2DE8AD36" w14:textId="77777777" w:rsidR="00E2285C" w:rsidRDefault="00730313">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5249BC25" w14:textId="77777777" w:rsidR="00E2285C" w:rsidRDefault="00730313">
            <w:pPr>
              <w:spacing w:beforeAutospacing="1" w:afterAutospacing="1"/>
            </w:pPr>
            <w:r>
              <w:rPr>
                <w:color w:val="000000"/>
                <w:sz w:val="22"/>
              </w:rPr>
              <w:t>CDBG: $</w:t>
            </w:r>
          </w:p>
        </w:tc>
        <w:tc>
          <w:tcPr>
            <w:tcW w:w="0" w:type="auto"/>
            <w:vAlign w:val="center"/>
          </w:tcPr>
          <w:p w14:paraId="71C3B4E0" w14:textId="77777777" w:rsidR="00E2285C" w:rsidRDefault="00730313">
            <w:pPr>
              <w:spacing w:beforeAutospacing="1" w:afterAutospacing="1"/>
            </w:pPr>
            <w:r>
              <w:rPr>
                <w:color w:val="000000"/>
                <w:sz w:val="22"/>
              </w:rPr>
              <w:t>Homeowner Housing Added</w:t>
            </w:r>
          </w:p>
        </w:tc>
        <w:tc>
          <w:tcPr>
            <w:tcW w:w="0" w:type="auto"/>
            <w:vAlign w:val="center"/>
          </w:tcPr>
          <w:p w14:paraId="7BFEE29E" w14:textId="77777777" w:rsidR="00E2285C" w:rsidRDefault="00730313">
            <w:pPr>
              <w:spacing w:beforeAutospacing="1" w:afterAutospacing="1"/>
            </w:pPr>
            <w:r>
              <w:rPr>
                <w:color w:val="000000"/>
                <w:sz w:val="22"/>
              </w:rPr>
              <w:t>Household Housing Unit</w:t>
            </w:r>
          </w:p>
        </w:tc>
        <w:tc>
          <w:tcPr>
            <w:tcW w:w="0" w:type="auto"/>
            <w:vAlign w:val="center"/>
          </w:tcPr>
          <w:p w14:paraId="7C48C14E" w14:textId="77777777" w:rsidR="00E2285C" w:rsidRDefault="00730313">
            <w:pPr>
              <w:spacing w:beforeAutospacing="1" w:afterAutospacing="1"/>
            </w:pPr>
            <w:r>
              <w:rPr>
                <w:color w:val="000000"/>
                <w:sz w:val="22"/>
              </w:rPr>
              <w:t>125</w:t>
            </w:r>
          </w:p>
        </w:tc>
        <w:tc>
          <w:tcPr>
            <w:tcW w:w="0" w:type="auto"/>
            <w:vAlign w:val="center"/>
          </w:tcPr>
          <w:p w14:paraId="0E2CBB8F" w14:textId="77777777" w:rsidR="00E2285C" w:rsidRDefault="00730313">
            <w:pPr>
              <w:spacing w:beforeAutospacing="1" w:afterAutospacing="1"/>
            </w:pPr>
            <w:r>
              <w:rPr>
                <w:color w:val="000000"/>
                <w:sz w:val="22"/>
              </w:rPr>
              <w:t>0</w:t>
            </w:r>
          </w:p>
        </w:tc>
        <w:tc>
          <w:tcPr>
            <w:tcW w:w="0" w:type="auto"/>
            <w:vAlign w:val="center"/>
          </w:tcPr>
          <w:p w14:paraId="652417EA" w14:textId="77777777" w:rsidR="00E2285C" w:rsidRDefault="00730313">
            <w:pPr>
              <w:spacing w:beforeAutospacing="1" w:afterAutospacing="1"/>
            </w:pPr>
            <w:r>
              <w:rPr>
                <w:color w:val="000000"/>
                <w:sz w:val="22"/>
              </w:rPr>
              <w:t xml:space="preserve">         0.00%</w:t>
            </w:r>
          </w:p>
        </w:tc>
        <w:tc>
          <w:tcPr>
            <w:tcW w:w="0" w:type="auto"/>
            <w:vAlign w:val="center"/>
          </w:tcPr>
          <w:p w14:paraId="34B66A57" w14:textId="77777777" w:rsidR="00E2285C" w:rsidRDefault="00730313">
            <w:pPr>
              <w:spacing w:beforeAutospacing="1" w:afterAutospacing="1"/>
            </w:pPr>
            <w:r>
              <w:rPr>
                <w:color w:val="000000"/>
                <w:sz w:val="22"/>
              </w:rPr>
              <w:t>9</w:t>
            </w:r>
          </w:p>
        </w:tc>
        <w:tc>
          <w:tcPr>
            <w:tcW w:w="0" w:type="auto"/>
            <w:vAlign w:val="center"/>
          </w:tcPr>
          <w:p w14:paraId="551A4885" w14:textId="77777777" w:rsidR="00E2285C" w:rsidRDefault="00730313">
            <w:pPr>
              <w:spacing w:beforeAutospacing="1" w:afterAutospacing="1"/>
            </w:pPr>
            <w:r>
              <w:rPr>
                <w:color w:val="000000"/>
                <w:sz w:val="22"/>
              </w:rPr>
              <w:t>0</w:t>
            </w:r>
          </w:p>
        </w:tc>
        <w:tc>
          <w:tcPr>
            <w:tcW w:w="0" w:type="auto"/>
            <w:vAlign w:val="center"/>
          </w:tcPr>
          <w:p w14:paraId="6C5D0A01" w14:textId="77777777" w:rsidR="00E2285C" w:rsidRDefault="00730313">
            <w:pPr>
              <w:spacing w:beforeAutospacing="1" w:afterAutospacing="1"/>
            </w:pPr>
            <w:r>
              <w:rPr>
                <w:color w:val="000000"/>
                <w:sz w:val="22"/>
              </w:rPr>
              <w:t xml:space="preserve">         0.00%</w:t>
            </w:r>
          </w:p>
        </w:tc>
      </w:tr>
      <w:tr w:rsidR="00E2285C" w14:paraId="369E964A" w14:textId="77777777">
        <w:trPr>
          <w:cantSplit/>
        </w:trPr>
        <w:tc>
          <w:tcPr>
            <w:tcW w:w="0" w:type="auto"/>
            <w:vAlign w:val="center"/>
          </w:tcPr>
          <w:p w14:paraId="1AD758A3" w14:textId="77777777" w:rsidR="00E2285C" w:rsidRDefault="00730313">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52702235" w14:textId="77777777" w:rsidR="00E2285C" w:rsidRDefault="00730313">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32DD1F8D" w14:textId="77777777" w:rsidR="00E2285C" w:rsidRDefault="00730313">
            <w:pPr>
              <w:spacing w:beforeAutospacing="1" w:afterAutospacing="1"/>
            </w:pPr>
            <w:r>
              <w:rPr>
                <w:color w:val="000000"/>
                <w:sz w:val="22"/>
              </w:rPr>
              <w:t>CDBG: $</w:t>
            </w:r>
          </w:p>
        </w:tc>
        <w:tc>
          <w:tcPr>
            <w:tcW w:w="0" w:type="auto"/>
            <w:vAlign w:val="center"/>
          </w:tcPr>
          <w:p w14:paraId="681024F5" w14:textId="77777777" w:rsidR="00E2285C" w:rsidRDefault="00730313">
            <w:pPr>
              <w:spacing w:beforeAutospacing="1" w:afterAutospacing="1"/>
            </w:pPr>
            <w:r>
              <w:rPr>
                <w:color w:val="000000"/>
                <w:sz w:val="22"/>
              </w:rPr>
              <w:t>Homeowner Housing Rehabilitated</w:t>
            </w:r>
          </w:p>
        </w:tc>
        <w:tc>
          <w:tcPr>
            <w:tcW w:w="0" w:type="auto"/>
            <w:vAlign w:val="center"/>
          </w:tcPr>
          <w:p w14:paraId="4E66C8CF" w14:textId="77777777" w:rsidR="00E2285C" w:rsidRDefault="00730313">
            <w:pPr>
              <w:spacing w:beforeAutospacing="1" w:afterAutospacing="1"/>
            </w:pPr>
            <w:r>
              <w:rPr>
                <w:color w:val="000000"/>
                <w:sz w:val="22"/>
              </w:rPr>
              <w:t>Household Housing Unit</w:t>
            </w:r>
          </w:p>
        </w:tc>
        <w:tc>
          <w:tcPr>
            <w:tcW w:w="0" w:type="auto"/>
            <w:vAlign w:val="center"/>
          </w:tcPr>
          <w:p w14:paraId="58328610" w14:textId="77777777" w:rsidR="00E2285C" w:rsidRDefault="00730313">
            <w:pPr>
              <w:spacing w:beforeAutospacing="1" w:afterAutospacing="1"/>
            </w:pPr>
            <w:r>
              <w:rPr>
                <w:color w:val="000000"/>
                <w:sz w:val="22"/>
              </w:rPr>
              <w:t>125</w:t>
            </w:r>
          </w:p>
        </w:tc>
        <w:tc>
          <w:tcPr>
            <w:tcW w:w="0" w:type="auto"/>
            <w:vAlign w:val="center"/>
          </w:tcPr>
          <w:p w14:paraId="254DFDFD" w14:textId="77777777" w:rsidR="00E2285C" w:rsidRDefault="00730313">
            <w:pPr>
              <w:spacing w:beforeAutospacing="1" w:afterAutospacing="1"/>
            </w:pPr>
            <w:r>
              <w:rPr>
                <w:color w:val="000000"/>
                <w:sz w:val="22"/>
              </w:rPr>
              <w:t>62</w:t>
            </w:r>
          </w:p>
        </w:tc>
        <w:tc>
          <w:tcPr>
            <w:tcW w:w="0" w:type="auto"/>
            <w:vAlign w:val="center"/>
          </w:tcPr>
          <w:p w14:paraId="3C159526" w14:textId="77777777" w:rsidR="00E2285C" w:rsidRDefault="00730313">
            <w:pPr>
              <w:spacing w:beforeAutospacing="1" w:afterAutospacing="1"/>
            </w:pPr>
            <w:r>
              <w:rPr>
                <w:color w:val="000000"/>
                <w:sz w:val="22"/>
              </w:rPr>
              <w:t xml:space="preserve">        49.60%</w:t>
            </w:r>
          </w:p>
        </w:tc>
        <w:tc>
          <w:tcPr>
            <w:tcW w:w="0" w:type="auto"/>
            <w:vAlign w:val="center"/>
          </w:tcPr>
          <w:p w14:paraId="23079C29" w14:textId="77777777" w:rsidR="00E2285C" w:rsidRDefault="00730313">
            <w:pPr>
              <w:spacing w:beforeAutospacing="1" w:afterAutospacing="1"/>
            </w:pPr>
            <w:r>
              <w:rPr>
                <w:color w:val="000000"/>
                <w:sz w:val="22"/>
              </w:rPr>
              <w:t>20</w:t>
            </w:r>
          </w:p>
        </w:tc>
        <w:tc>
          <w:tcPr>
            <w:tcW w:w="0" w:type="auto"/>
            <w:vAlign w:val="center"/>
          </w:tcPr>
          <w:p w14:paraId="75FEA410" w14:textId="77777777" w:rsidR="00E2285C" w:rsidRDefault="00730313">
            <w:pPr>
              <w:spacing w:beforeAutospacing="1" w:afterAutospacing="1"/>
            </w:pPr>
            <w:r>
              <w:rPr>
                <w:color w:val="000000"/>
                <w:sz w:val="22"/>
              </w:rPr>
              <w:t>21</w:t>
            </w:r>
          </w:p>
        </w:tc>
        <w:tc>
          <w:tcPr>
            <w:tcW w:w="0" w:type="auto"/>
            <w:vAlign w:val="center"/>
          </w:tcPr>
          <w:p w14:paraId="44E8EB7B" w14:textId="77777777" w:rsidR="00E2285C" w:rsidRDefault="00730313">
            <w:pPr>
              <w:spacing w:beforeAutospacing="1" w:afterAutospacing="1"/>
            </w:pPr>
            <w:r>
              <w:rPr>
                <w:color w:val="000000"/>
                <w:sz w:val="22"/>
              </w:rPr>
              <w:t xml:space="preserve">       105.00%</w:t>
            </w:r>
          </w:p>
        </w:tc>
      </w:tr>
      <w:tr w:rsidR="00E2285C" w14:paraId="22F5FA52" w14:textId="77777777">
        <w:trPr>
          <w:cantSplit/>
        </w:trPr>
        <w:tc>
          <w:tcPr>
            <w:tcW w:w="0" w:type="auto"/>
            <w:vAlign w:val="center"/>
          </w:tcPr>
          <w:p w14:paraId="7CF86F18" w14:textId="77777777" w:rsidR="00E2285C" w:rsidRDefault="00730313">
            <w:pPr>
              <w:spacing w:beforeAutospacing="1" w:afterAutospacing="1"/>
            </w:pPr>
            <w:proofErr w:type="gramStart"/>
            <w:r>
              <w:rPr>
                <w:color w:val="000000"/>
                <w:sz w:val="22"/>
              </w:rPr>
              <w:t>Expand</w:t>
            </w:r>
            <w:proofErr w:type="gramEnd"/>
            <w:r>
              <w:rPr>
                <w:color w:val="000000"/>
                <w:sz w:val="22"/>
              </w:rPr>
              <w:t xml:space="preserve"> Supply, Type and Diversity of Housing</w:t>
            </w:r>
          </w:p>
        </w:tc>
        <w:tc>
          <w:tcPr>
            <w:tcW w:w="0" w:type="auto"/>
            <w:vAlign w:val="center"/>
          </w:tcPr>
          <w:p w14:paraId="61CAE03B" w14:textId="77777777" w:rsidR="00E2285C" w:rsidRDefault="00730313">
            <w:pPr>
              <w:spacing w:beforeAutospacing="1" w:afterAutospacing="1"/>
            </w:pPr>
            <w:r>
              <w:rPr>
                <w:color w:val="000000"/>
                <w:sz w:val="22"/>
              </w:rPr>
              <w:t>Affordable Housing</w:t>
            </w:r>
            <w:r>
              <w:rPr>
                <w:color w:val="000000"/>
                <w:sz w:val="22"/>
              </w:rPr>
              <w:br/>
              <w:t>Public Housing</w:t>
            </w:r>
            <w:r>
              <w:rPr>
                <w:color w:val="000000"/>
                <w:sz w:val="22"/>
              </w:rPr>
              <w:br/>
              <w:t>Homeless</w:t>
            </w:r>
          </w:p>
        </w:tc>
        <w:tc>
          <w:tcPr>
            <w:tcW w:w="0" w:type="auto"/>
            <w:vAlign w:val="center"/>
          </w:tcPr>
          <w:p w14:paraId="3F0922A8" w14:textId="77777777" w:rsidR="00E2285C" w:rsidRDefault="00730313">
            <w:pPr>
              <w:spacing w:beforeAutospacing="1" w:afterAutospacing="1"/>
            </w:pPr>
            <w:r>
              <w:rPr>
                <w:color w:val="000000"/>
                <w:sz w:val="22"/>
              </w:rPr>
              <w:t>CDBG: $</w:t>
            </w:r>
          </w:p>
        </w:tc>
        <w:tc>
          <w:tcPr>
            <w:tcW w:w="0" w:type="auto"/>
            <w:vAlign w:val="center"/>
          </w:tcPr>
          <w:p w14:paraId="5C835E19" w14:textId="77777777" w:rsidR="00E2285C" w:rsidRDefault="00730313">
            <w:pPr>
              <w:spacing w:beforeAutospacing="1" w:afterAutospacing="1"/>
            </w:pPr>
            <w:r>
              <w:rPr>
                <w:color w:val="000000"/>
                <w:sz w:val="22"/>
              </w:rPr>
              <w:t>Housing for Homeless added</w:t>
            </w:r>
          </w:p>
        </w:tc>
        <w:tc>
          <w:tcPr>
            <w:tcW w:w="0" w:type="auto"/>
            <w:vAlign w:val="center"/>
          </w:tcPr>
          <w:p w14:paraId="36BDC178" w14:textId="77777777" w:rsidR="00E2285C" w:rsidRDefault="00730313">
            <w:pPr>
              <w:spacing w:beforeAutospacing="1" w:afterAutospacing="1"/>
            </w:pPr>
            <w:r>
              <w:rPr>
                <w:color w:val="000000"/>
                <w:sz w:val="22"/>
              </w:rPr>
              <w:t>Household Housing Unit</w:t>
            </w:r>
          </w:p>
        </w:tc>
        <w:tc>
          <w:tcPr>
            <w:tcW w:w="0" w:type="auto"/>
            <w:vAlign w:val="center"/>
          </w:tcPr>
          <w:p w14:paraId="28B3F103" w14:textId="77777777" w:rsidR="00E2285C" w:rsidRDefault="00730313">
            <w:pPr>
              <w:spacing w:beforeAutospacing="1" w:afterAutospacing="1"/>
            </w:pPr>
            <w:r>
              <w:rPr>
                <w:color w:val="000000"/>
                <w:sz w:val="22"/>
              </w:rPr>
              <w:t>10</w:t>
            </w:r>
          </w:p>
        </w:tc>
        <w:tc>
          <w:tcPr>
            <w:tcW w:w="0" w:type="auto"/>
            <w:vAlign w:val="center"/>
          </w:tcPr>
          <w:p w14:paraId="1A31C075" w14:textId="77777777" w:rsidR="00E2285C" w:rsidRDefault="00730313">
            <w:pPr>
              <w:spacing w:beforeAutospacing="1" w:afterAutospacing="1"/>
            </w:pPr>
            <w:r>
              <w:rPr>
                <w:color w:val="000000"/>
                <w:sz w:val="22"/>
              </w:rPr>
              <w:t>1</w:t>
            </w:r>
          </w:p>
        </w:tc>
        <w:tc>
          <w:tcPr>
            <w:tcW w:w="0" w:type="auto"/>
            <w:vAlign w:val="center"/>
          </w:tcPr>
          <w:p w14:paraId="01B0FD1C" w14:textId="77777777" w:rsidR="00E2285C" w:rsidRDefault="00730313">
            <w:pPr>
              <w:spacing w:beforeAutospacing="1" w:afterAutospacing="1"/>
            </w:pPr>
            <w:r>
              <w:rPr>
                <w:color w:val="000000"/>
                <w:sz w:val="22"/>
              </w:rPr>
              <w:t xml:space="preserve">        10.00%</w:t>
            </w:r>
          </w:p>
        </w:tc>
        <w:tc>
          <w:tcPr>
            <w:tcW w:w="0" w:type="auto"/>
            <w:vAlign w:val="center"/>
          </w:tcPr>
          <w:p w14:paraId="7DEABBE9" w14:textId="77777777" w:rsidR="00E2285C" w:rsidRDefault="00730313">
            <w:pPr>
              <w:spacing w:beforeAutospacing="1" w:afterAutospacing="1"/>
            </w:pPr>
            <w:r>
              <w:rPr>
                <w:color w:val="000000"/>
                <w:sz w:val="22"/>
              </w:rPr>
              <w:t xml:space="preserve"> </w:t>
            </w:r>
          </w:p>
        </w:tc>
        <w:tc>
          <w:tcPr>
            <w:tcW w:w="0" w:type="auto"/>
            <w:vAlign w:val="center"/>
          </w:tcPr>
          <w:p w14:paraId="3137E850" w14:textId="77777777" w:rsidR="00E2285C" w:rsidRDefault="00730313">
            <w:pPr>
              <w:spacing w:beforeAutospacing="1" w:afterAutospacing="1"/>
            </w:pPr>
            <w:r>
              <w:rPr>
                <w:color w:val="000000"/>
                <w:sz w:val="22"/>
              </w:rPr>
              <w:t xml:space="preserve"> </w:t>
            </w:r>
          </w:p>
        </w:tc>
        <w:tc>
          <w:tcPr>
            <w:tcW w:w="0" w:type="auto"/>
            <w:vAlign w:val="center"/>
          </w:tcPr>
          <w:p w14:paraId="48D8099F" w14:textId="77777777" w:rsidR="00E2285C" w:rsidRDefault="00730313">
            <w:pPr>
              <w:spacing w:beforeAutospacing="1" w:afterAutospacing="1"/>
            </w:pPr>
            <w:r>
              <w:rPr>
                <w:color w:val="000000"/>
                <w:sz w:val="22"/>
              </w:rPr>
              <w:t xml:space="preserve"> </w:t>
            </w:r>
          </w:p>
        </w:tc>
      </w:tr>
      <w:tr w:rsidR="00E2285C" w14:paraId="54F4C2C4" w14:textId="77777777">
        <w:trPr>
          <w:cantSplit/>
        </w:trPr>
        <w:tc>
          <w:tcPr>
            <w:tcW w:w="0" w:type="auto"/>
            <w:vAlign w:val="center"/>
          </w:tcPr>
          <w:p w14:paraId="5190E24C" w14:textId="77777777" w:rsidR="00E2285C" w:rsidRDefault="00730313">
            <w:pPr>
              <w:spacing w:beforeAutospacing="1" w:afterAutospacing="1"/>
            </w:pPr>
            <w:r>
              <w:rPr>
                <w:color w:val="000000"/>
                <w:sz w:val="22"/>
              </w:rPr>
              <w:lastRenderedPageBreak/>
              <w:t>Foster Access to Economic Opportunities +Resources</w:t>
            </w:r>
          </w:p>
        </w:tc>
        <w:tc>
          <w:tcPr>
            <w:tcW w:w="0" w:type="auto"/>
            <w:vAlign w:val="center"/>
          </w:tcPr>
          <w:p w14:paraId="3E465487" w14:textId="77777777" w:rsidR="00E2285C" w:rsidRDefault="00730313">
            <w:pPr>
              <w:spacing w:beforeAutospacing="1" w:afterAutospacing="1"/>
            </w:pPr>
            <w:r>
              <w:rPr>
                <w:color w:val="000000"/>
                <w:sz w:val="22"/>
              </w:rPr>
              <w:t>Non-Homeless Special Needs</w:t>
            </w:r>
          </w:p>
        </w:tc>
        <w:tc>
          <w:tcPr>
            <w:tcW w:w="0" w:type="auto"/>
            <w:vAlign w:val="center"/>
          </w:tcPr>
          <w:p w14:paraId="2B258D7F" w14:textId="77777777" w:rsidR="00E2285C" w:rsidRDefault="00730313">
            <w:pPr>
              <w:spacing w:beforeAutospacing="1" w:afterAutospacing="1"/>
            </w:pPr>
            <w:r>
              <w:rPr>
                <w:color w:val="000000"/>
                <w:sz w:val="22"/>
              </w:rPr>
              <w:t>CDBG: $</w:t>
            </w:r>
          </w:p>
        </w:tc>
        <w:tc>
          <w:tcPr>
            <w:tcW w:w="0" w:type="auto"/>
            <w:vAlign w:val="center"/>
          </w:tcPr>
          <w:p w14:paraId="5AB1FB6E" w14:textId="77777777" w:rsidR="00E2285C" w:rsidRDefault="00730313">
            <w:pPr>
              <w:spacing w:beforeAutospacing="1" w:afterAutospacing="1"/>
            </w:pPr>
            <w:r>
              <w:rPr>
                <w:color w:val="000000"/>
                <w:sz w:val="22"/>
              </w:rPr>
              <w:t>Jobs created/retained</w:t>
            </w:r>
          </w:p>
        </w:tc>
        <w:tc>
          <w:tcPr>
            <w:tcW w:w="0" w:type="auto"/>
            <w:vAlign w:val="center"/>
          </w:tcPr>
          <w:p w14:paraId="790790EF" w14:textId="77777777" w:rsidR="00E2285C" w:rsidRDefault="00730313">
            <w:pPr>
              <w:spacing w:beforeAutospacing="1" w:afterAutospacing="1"/>
            </w:pPr>
            <w:r>
              <w:rPr>
                <w:color w:val="000000"/>
                <w:sz w:val="22"/>
              </w:rPr>
              <w:t>Jobs</w:t>
            </w:r>
          </w:p>
        </w:tc>
        <w:tc>
          <w:tcPr>
            <w:tcW w:w="0" w:type="auto"/>
            <w:vAlign w:val="center"/>
          </w:tcPr>
          <w:p w14:paraId="32502932" w14:textId="77777777" w:rsidR="00E2285C" w:rsidRDefault="00730313">
            <w:pPr>
              <w:spacing w:beforeAutospacing="1" w:afterAutospacing="1"/>
            </w:pPr>
            <w:r>
              <w:rPr>
                <w:color w:val="000000"/>
                <w:sz w:val="22"/>
              </w:rPr>
              <w:t>500</w:t>
            </w:r>
          </w:p>
        </w:tc>
        <w:tc>
          <w:tcPr>
            <w:tcW w:w="0" w:type="auto"/>
            <w:vAlign w:val="center"/>
          </w:tcPr>
          <w:p w14:paraId="48492D1E" w14:textId="77777777" w:rsidR="00E2285C" w:rsidRDefault="00730313">
            <w:pPr>
              <w:spacing w:beforeAutospacing="1" w:afterAutospacing="1"/>
            </w:pPr>
            <w:r>
              <w:rPr>
                <w:color w:val="000000"/>
                <w:sz w:val="22"/>
              </w:rPr>
              <w:t>121</w:t>
            </w:r>
          </w:p>
        </w:tc>
        <w:tc>
          <w:tcPr>
            <w:tcW w:w="0" w:type="auto"/>
            <w:vAlign w:val="center"/>
          </w:tcPr>
          <w:p w14:paraId="3A54BC74" w14:textId="77777777" w:rsidR="00E2285C" w:rsidRDefault="00730313">
            <w:pPr>
              <w:spacing w:beforeAutospacing="1" w:afterAutospacing="1"/>
            </w:pPr>
            <w:r>
              <w:rPr>
                <w:color w:val="000000"/>
                <w:sz w:val="22"/>
              </w:rPr>
              <w:t xml:space="preserve">        24.20%</w:t>
            </w:r>
          </w:p>
        </w:tc>
        <w:tc>
          <w:tcPr>
            <w:tcW w:w="0" w:type="auto"/>
            <w:vAlign w:val="center"/>
          </w:tcPr>
          <w:p w14:paraId="5FCE7ED6" w14:textId="77777777" w:rsidR="00E2285C" w:rsidRDefault="00730313">
            <w:pPr>
              <w:spacing w:beforeAutospacing="1" w:afterAutospacing="1"/>
            </w:pPr>
            <w:r>
              <w:rPr>
                <w:color w:val="000000"/>
                <w:sz w:val="22"/>
              </w:rPr>
              <w:t>4</w:t>
            </w:r>
          </w:p>
        </w:tc>
        <w:tc>
          <w:tcPr>
            <w:tcW w:w="0" w:type="auto"/>
            <w:vAlign w:val="center"/>
          </w:tcPr>
          <w:p w14:paraId="0FE4C9A3" w14:textId="77777777" w:rsidR="00E2285C" w:rsidRDefault="00730313">
            <w:pPr>
              <w:spacing w:beforeAutospacing="1" w:afterAutospacing="1"/>
            </w:pPr>
            <w:r>
              <w:rPr>
                <w:color w:val="000000"/>
                <w:sz w:val="22"/>
              </w:rPr>
              <w:t>0</w:t>
            </w:r>
          </w:p>
        </w:tc>
        <w:tc>
          <w:tcPr>
            <w:tcW w:w="0" w:type="auto"/>
            <w:vAlign w:val="center"/>
          </w:tcPr>
          <w:p w14:paraId="57182949" w14:textId="77777777" w:rsidR="00E2285C" w:rsidRDefault="00730313">
            <w:pPr>
              <w:spacing w:beforeAutospacing="1" w:afterAutospacing="1"/>
            </w:pPr>
            <w:r>
              <w:rPr>
                <w:color w:val="000000"/>
                <w:sz w:val="22"/>
              </w:rPr>
              <w:t xml:space="preserve">         0.00%</w:t>
            </w:r>
          </w:p>
        </w:tc>
      </w:tr>
      <w:tr w:rsidR="00E2285C" w14:paraId="6165BB1C" w14:textId="77777777">
        <w:trPr>
          <w:cantSplit/>
        </w:trPr>
        <w:tc>
          <w:tcPr>
            <w:tcW w:w="0" w:type="auto"/>
            <w:vAlign w:val="center"/>
          </w:tcPr>
          <w:p w14:paraId="4CE0AC99" w14:textId="77777777" w:rsidR="00E2285C" w:rsidRDefault="00730313">
            <w:pPr>
              <w:spacing w:beforeAutospacing="1" w:afterAutospacing="1"/>
            </w:pPr>
            <w:r>
              <w:rPr>
                <w:color w:val="000000"/>
                <w:sz w:val="22"/>
              </w:rPr>
              <w:t>Foster Access to Economic Opportunities +Resources</w:t>
            </w:r>
          </w:p>
        </w:tc>
        <w:tc>
          <w:tcPr>
            <w:tcW w:w="0" w:type="auto"/>
            <w:vAlign w:val="center"/>
          </w:tcPr>
          <w:p w14:paraId="624A49CA" w14:textId="77777777" w:rsidR="00E2285C" w:rsidRDefault="00730313">
            <w:pPr>
              <w:spacing w:beforeAutospacing="1" w:afterAutospacing="1"/>
            </w:pPr>
            <w:r>
              <w:rPr>
                <w:color w:val="000000"/>
                <w:sz w:val="22"/>
              </w:rPr>
              <w:t>Non-Homeless Special Needs</w:t>
            </w:r>
          </w:p>
        </w:tc>
        <w:tc>
          <w:tcPr>
            <w:tcW w:w="0" w:type="auto"/>
            <w:vAlign w:val="center"/>
          </w:tcPr>
          <w:p w14:paraId="56FDACEA" w14:textId="77777777" w:rsidR="00E2285C" w:rsidRDefault="00730313">
            <w:pPr>
              <w:spacing w:beforeAutospacing="1" w:afterAutospacing="1"/>
            </w:pPr>
            <w:r>
              <w:rPr>
                <w:color w:val="000000"/>
                <w:sz w:val="22"/>
              </w:rPr>
              <w:t>CDBG: $</w:t>
            </w:r>
          </w:p>
        </w:tc>
        <w:tc>
          <w:tcPr>
            <w:tcW w:w="0" w:type="auto"/>
            <w:vAlign w:val="center"/>
          </w:tcPr>
          <w:p w14:paraId="5CDF6160" w14:textId="77777777" w:rsidR="00E2285C" w:rsidRDefault="00730313">
            <w:pPr>
              <w:spacing w:beforeAutospacing="1" w:afterAutospacing="1"/>
            </w:pPr>
            <w:r>
              <w:rPr>
                <w:color w:val="000000"/>
                <w:sz w:val="22"/>
              </w:rPr>
              <w:t>Businesses assisted</w:t>
            </w:r>
          </w:p>
        </w:tc>
        <w:tc>
          <w:tcPr>
            <w:tcW w:w="0" w:type="auto"/>
            <w:vAlign w:val="center"/>
          </w:tcPr>
          <w:p w14:paraId="00A78DF3" w14:textId="77777777" w:rsidR="00E2285C" w:rsidRDefault="00730313">
            <w:pPr>
              <w:spacing w:beforeAutospacing="1" w:afterAutospacing="1"/>
            </w:pPr>
            <w:r>
              <w:rPr>
                <w:color w:val="000000"/>
                <w:sz w:val="22"/>
              </w:rPr>
              <w:t>Businesses Assisted</w:t>
            </w:r>
          </w:p>
        </w:tc>
        <w:tc>
          <w:tcPr>
            <w:tcW w:w="0" w:type="auto"/>
            <w:vAlign w:val="center"/>
          </w:tcPr>
          <w:p w14:paraId="36FD503C" w14:textId="77777777" w:rsidR="00E2285C" w:rsidRDefault="00730313">
            <w:pPr>
              <w:spacing w:beforeAutospacing="1" w:afterAutospacing="1"/>
            </w:pPr>
            <w:r>
              <w:rPr>
                <w:color w:val="000000"/>
                <w:sz w:val="22"/>
              </w:rPr>
              <w:t>112</w:t>
            </w:r>
          </w:p>
        </w:tc>
        <w:tc>
          <w:tcPr>
            <w:tcW w:w="0" w:type="auto"/>
            <w:vAlign w:val="center"/>
          </w:tcPr>
          <w:p w14:paraId="2EFBE70A" w14:textId="77777777" w:rsidR="00E2285C" w:rsidRDefault="00730313">
            <w:pPr>
              <w:spacing w:beforeAutospacing="1" w:afterAutospacing="1"/>
            </w:pPr>
            <w:r>
              <w:rPr>
                <w:color w:val="000000"/>
                <w:sz w:val="22"/>
              </w:rPr>
              <w:t>114</w:t>
            </w:r>
          </w:p>
        </w:tc>
        <w:tc>
          <w:tcPr>
            <w:tcW w:w="0" w:type="auto"/>
            <w:vAlign w:val="center"/>
          </w:tcPr>
          <w:p w14:paraId="10DB3663" w14:textId="77777777" w:rsidR="00E2285C" w:rsidRDefault="00730313">
            <w:pPr>
              <w:spacing w:beforeAutospacing="1" w:afterAutospacing="1"/>
            </w:pPr>
            <w:r>
              <w:rPr>
                <w:color w:val="000000"/>
                <w:sz w:val="22"/>
              </w:rPr>
              <w:t xml:space="preserve">       101.79%</w:t>
            </w:r>
          </w:p>
        </w:tc>
        <w:tc>
          <w:tcPr>
            <w:tcW w:w="0" w:type="auto"/>
            <w:vAlign w:val="center"/>
          </w:tcPr>
          <w:p w14:paraId="44C23FF1" w14:textId="77777777" w:rsidR="00E2285C" w:rsidRDefault="00730313">
            <w:pPr>
              <w:spacing w:beforeAutospacing="1" w:afterAutospacing="1"/>
            </w:pPr>
            <w:r>
              <w:rPr>
                <w:color w:val="000000"/>
                <w:sz w:val="22"/>
              </w:rPr>
              <w:t>70</w:t>
            </w:r>
          </w:p>
        </w:tc>
        <w:tc>
          <w:tcPr>
            <w:tcW w:w="0" w:type="auto"/>
            <w:vAlign w:val="center"/>
          </w:tcPr>
          <w:p w14:paraId="6B1BE16E" w14:textId="77777777" w:rsidR="00E2285C" w:rsidRDefault="00730313">
            <w:pPr>
              <w:spacing w:beforeAutospacing="1" w:afterAutospacing="1"/>
            </w:pPr>
            <w:r>
              <w:rPr>
                <w:color w:val="000000"/>
                <w:sz w:val="22"/>
              </w:rPr>
              <w:t>40</w:t>
            </w:r>
          </w:p>
        </w:tc>
        <w:tc>
          <w:tcPr>
            <w:tcW w:w="0" w:type="auto"/>
            <w:vAlign w:val="center"/>
          </w:tcPr>
          <w:p w14:paraId="27A433D8" w14:textId="77777777" w:rsidR="00E2285C" w:rsidRDefault="00730313">
            <w:pPr>
              <w:spacing w:beforeAutospacing="1" w:afterAutospacing="1"/>
            </w:pPr>
            <w:r>
              <w:rPr>
                <w:color w:val="000000"/>
                <w:sz w:val="22"/>
              </w:rPr>
              <w:t xml:space="preserve">        57.14%</w:t>
            </w:r>
          </w:p>
        </w:tc>
      </w:tr>
      <w:tr w:rsidR="00E2285C" w14:paraId="172BAA2F" w14:textId="77777777">
        <w:trPr>
          <w:cantSplit/>
        </w:trPr>
        <w:tc>
          <w:tcPr>
            <w:tcW w:w="0" w:type="auto"/>
            <w:vAlign w:val="center"/>
          </w:tcPr>
          <w:p w14:paraId="16C8129E" w14:textId="77777777" w:rsidR="00E2285C" w:rsidRDefault="00730313">
            <w:pPr>
              <w:spacing w:beforeAutospacing="1" w:afterAutospacing="1"/>
            </w:pPr>
            <w:proofErr w:type="gramStart"/>
            <w:r>
              <w:rPr>
                <w:color w:val="000000"/>
                <w:sz w:val="22"/>
              </w:rPr>
              <w:t>Increase</w:t>
            </w:r>
            <w:proofErr w:type="gramEnd"/>
            <w:r>
              <w:rPr>
                <w:color w:val="000000"/>
                <w:sz w:val="22"/>
              </w:rPr>
              <w:t xml:space="preserve"> Owner Occupancy &amp; Labor Participation</w:t>
            </w:r>
          </w:p>
        </w:tc>
        <w:tc>
          <w:tcPr>
            <w:tcW w:w="0" w:type="auto"/>
            <w:vAlign w:val="center"/>
          </w:tcPr>
          <w:p w14:paraId="147EEB07" w14:textId="77777777" w:rsidR="00E2285C" w:rsidRDefault="00730313">
            <w:pPr>
              <w:spacing w:beforeAutospacing="1" w:afterAutospacing="1"/>
            </w:pPr>
            <w:r>
              <w:rPr>
                <w:color w:val="000000"/>
                <w:sz w:val="22"/>
              </w:rPr>
              <w:t>Affordable Housing</w:t>
            </w:r>
            <w:r>
              <w:rPr>
                <w:color w:val="000000"/>
                <w:sz w:val="22"/>
              </w:rPr>
              <w:br/>
              <w:t>Non-Homeless Special Needs</w:t>
            </w:r>
          </w:p>
        </w:tc>
        <w:tc>
          <w:tcPr>
            <w:tcW w:w="0" w:type="auto"/>
            <w:vAlign w:val="center"/>
          </w:tcPr>
          <w:p w14:paraId="640B24C9" w14:textId="77777777" w:rsidR="00E2285C" w:rsidRDefault="00730313">
            <w:pPr>
              <w:spacing w:beforeAutospacing="1" w:afterAutospacing="1"/>
            </w:pPr>
            <w:r>
              <w:rPr>
                <w:color w:val="000000"/>
                <w:sz w:val="22"/>
              </w:rPr>
              <w:t>CDBG: $</w:t>
            </w:r>
          </w:p>
        </w:tc>
        <w:tc>
          <w:tcPr>
            <w:tcW w:w="0" w:type="auto"/>
            <w:vAlign w:val="center"/>
          </w:tcPr>
          <w:p w14:paraId="1A8F2A88" w14:textId="77777777" w:rsidR="00E2285C" w:rsidRDefault="00730313">
            <w:pPr>
              <w:spacing w:beforeAutospacing="1" w:afterAutospacing="1"/>
            </w:pPr>
            <w:r>
              <w:rPr>
                <w:color w:val="000000"/>
                <w:sz w:val="22"/>
              </w:rPr>
              <w:t>Direct Financial Assistance to Homebuyers</w:t>
            </w:r>
          </w:p>
        </w:tc>
        <w:tc>
          <w:tcPr>
            <w:tcW w:w="0" w:type="auto"/>
            <w:vAlign w:val="center"/>
          </w:tcPr>
          <w:p w14:paraId="015F7263" w14:textId="77777777" w:rsidR="00E2285C" w:rsidRDefault="00730313">
            <w:pPr>
              <w:spacing w:beforeAutospacing="1" w:afterAutospacing="1"/>
            </w:pPr>
            <w:r>
              <w:rPr>
                <w:color w:val="000000"/>
                <w:sz w:val="22"/>
              </w:rPr>
              <w:t>Households Assisted</w:t>
            </w:r>
          </w:p>
        </w:tc>
        <w:tc>
          <w:tcPr>
            <w:tcW w:w="0" w:type="auto"/>
            <w:vAlign w:val="center"/>
          </w:tcPr>
          <w:p w14:paraId="45B3DE50" w14:textId="77777777" w:rsidR="00E2285C" w:rsidRDefault="00730313">
            <w:pPr>
              <w:spacing w:beforeAutospacing="1" w:afterAutospacing="1"/>
            </w:pPr>
            <w:r>
              <w:rPr>
                <w:color w:val="000000"/>
                <w:sz w:val="22"/>
              </w:rPr>
              <w:t>62</w:t>
            </w:r>
          </w:p>
        </w:tc>
        <w:tc>
          <w:tcPr>
            <w:tcW w:w="0" w:type="auto"/>
            <w:vAlign w:val="center"/>
          </w:tcPr>
          <w:p w14:paraId="20646C32" w14:textId="77777777" w:rsidR="00E2285C" w:rsidRDefault="00730313">
            <w:pPr>
              <w:spacing w:beforeAutospacing="1" w:afterAutospacing="1"/>
            </w:pPr>
            <w:r>
              <w:rPr>
                <w:color w:val="000000"/>
                <w:sz w:val="22"/>
              </w:rPr>
              <w:t>13</w:t>
            </w:r>
          </w:p>
        </w:tc>
        <w:tc>
          <w:tcPr>
            <w:tcW w:w="0" w:type="auto"/>
            <w:vAlign w:val="center"/>
          </w:tcPr>
          <w:p w14:paraId="479783E5" w14:textId="77777777" w:rsidR="00E2285C" w:rsidRDefault="00730313">
            <w:pPr>
              <w:spacing w:beforeAutospacing="1" w:afterAutospacing="1"/>
            </w:pPr>
            <w:r>
              <w:rPr>
                <w:color w:val="000000"/>
                <w:sz w:val="22"/>
              </w:rPr>
              <w:t xml:space="preserve">        20.97%</w:t>
            </w:r>
          </w:p>
        </w:tc>
        <w:tc>
          <w:tcPr>
            <w:tcW w:w="0" w:type="auto"/>
            <w:vAlign w:val="center"/>
          </w:tcPr>
          <w:p w14:paraId="1AABB7D8" w14:textId="77777777" w:rsidR="00E2285C" w:rsidRDefault="00730313">
            <w:pPr>
              <w:spacing w:beforeAutospacing="1" w:afterAutospacing="1"/>
            </w:pPr>
            <w:r>
              <w:rPr>
                <w:color w:val="000000"/>
                <w:sz w:val="22"/>
              </w:rPr>
              <w:t>3</w:t>
            </w:r>
          </w:p>
        </w:tc>
        <w:tc>
          <w:tcPr>
            <w:tcW w:w="0" w:type="auto"/>
            <w:vAlign w:val="center"/>
          </w:tcPr>
          <w:p w14:paraId="48B8902B" w14:textId="77777777" w:rsidR="00E2285C" w:rsidRDefault="00730313">
            <w:pPr>
              <w:spacing w:beforeAutospacing="1" w:afterAutospacing="1"/>
            </w:pPr>
            <w:r>
              <w:rPr>
                <w:color w:val="000000"/>
                <w:sz w:val="22"/>
              </w:rPr>
              <w:t>3</w:t>
            </w:r>
          </w:p>
        </w:tc>
        <w:tc>
          <w:tcPr>
            <w:tcW w:w="0" w:type="auto"/>
            <w:vAlign w:val="center"/>
          </w:tcPr>
          <w:p w14:paraId="6B7F8C06" w14:textId="77777777" w:rsidR="00E2285C" w:rsidRDefault="00730313">
            <w:pPr>
              <w:spacing w:beforeAutospacing="1" w:afterAutospacing="1"/>
            </w:pPr>
            <w:r>
              <w:rPr>
                <w:color w:val="000000"/>
                <w:sz w:val="22"/>
              </w:rPr>
              <w:t xml:space="preserve">       100.00%</w:t>
            </w:r>
          </w:p>
        </w:tc>
      </w:tr>
      <w:tr w:rsidR="00E2285C" w14:paraId="58B607F7" w14:textId="77777777">
        <w:trPr>
          <w:cantSplit/>
        </w:trPr>
        <w:tc>
          <w:tcPr>
            <w:tcW w:w="0" w:type="auto"/>
            <w:vAlign w:val="center"/>
          </w:tcPr>
          <w:p w14:paraId="012C850D" w14:textId="77777777" w:rsidR="00E2285C" w:rsidRDefault="00730313">
            <w:pPr>
              <w:spacing w:beforeAutospacing="1" w:afterAutospacing="1"/>
            </w:pPr>
            <w:proofErr w:type="gramStart"/>
            <w:r>
              <w:rPr>
                <w:color w:val="000000"/>
                <w:sz w:val="22"/>
              </w:rPr>
              <w:t>Increase</w:t>
            </w:r>
            <w:proofErr w:type="gramEnd"/>
            <w:r>
              <w:rPr>
                <w:color w:val="000000"/>
                <w:sz w:val="22"/>
              </w:rPr>
              <w:t xml:space="preserve"> Owner Occupancy &amp; Labor Participation</w:t>
            </w:r>
          </w:p>
        </w:tc>
        <w:tc>
          <w:tcPr>
            <w:tcW w:w="0" w:type="auto"/>
            <w:vAlign w:val="center"/>
          </w:tcPr>
          <w:p w14:paraId="23F8EB23" w14:textId="77777777" w:rsidR="00E2285C" w:rsidRDefault="00730313">
            <w:pPr>
              <w:spacing w:beforeAutospacing="1" w:afterAutospacing="1"/>
            </w:pPr>
            <w:r>
              <w:rPr>
                <w:color w:val="000000"/>
                <w:sz w:val="22"/>
              </w:rPr>
              <w:t>Affordable Housing</w:t>
            </w:r>
            <w:r>
              <w:rPr>
                <w:color w:val="000000"/>
                <w:sz w:val="22"/>
              </w:rPr>
              <w:br/>
              <w:t>Non-Homeless Special Needs</w:t>
            </w:r>
          </w:p>
        </w:tc>
        <w:tc>
          <w:tcPr>
            <w:tcW w:w="0" w:type="auto"/>
            <w:vAlign w:val="center"/>
          </w:tcPr>
          <w:p w14:paraId="1F616606" w14:textId="77777777" w:rsidR="00E2285C" w:rsidRDefault="00730313">
            <w:pPr>
              <w:spacing w:beforeAutospacing="1" w:afterAutospacing="1"/>
            </w:pPr>
            <w:r>
              <w:rPr>
                <w:color w:val="000000"/>
                <w:sz w:val="22"/>
              </w:rPr>
              <w:t>CDBG: $</w:t>
            </w:r>
          </w:p>
        </w:tc>
        <w:tc>
          <w:tcPr>
            <w:tcW w:w="0" w:type="auto"/>
            <w:vAlign w:val="center"/>
          </w:tcPr>
          <w:p w14:paraId="7693BE05" w14:textId="77777777" w:rsidR="00E2285C" w:rsidRDefault="00730313">
            <w:pPr>
              <w:spacing w:beforeAutospacing="1" w:afterAutospacing="1"/>
            </w:pPr>
            <w:r>
              <w:rPr>
                <w:color w:val="000000"/>
                <w:sz w:val="22"/>
              </w:rPr>
              <w:t>Jobs created/retained</w:t>
            </w:r>
          </w:p>
        </w:tc>
        <w:tc>
          <w:tcPr>
            <w:tcW w:w="0" w:type="auto"/>
            <w:vAlign w:val="center"/>
          </w:tcPr>
          <w:p w14:paraId="1CEDB31A" w14:textId="77777777" w:rsidR="00E2285C" w:rsidRDefault="00730313">
            <w:pPr>
              <w:spacing w:beforeAutospacing="1" w:afterAutospacing="1"/>
            </w:pPr>
            <w:r>
              <w:rPr>
                <w:color w:val="000000"/>
                <w:sz w:val="22"/>
              </w:rPr>
              <w:t>Jobs</w:t>
            </w:r>
          </w:p>
        </w:tc>
        <w:tc>
          <w:tcPr>
            <w:tcW w:w="0" w:type="auto"/>
            <w:vAlign w:val="center"/>
          </w:tcPr>
          <w:p w14:paraId="65FCB041" w14:textId="77777777" w:rsidR="00E2285C" w:rsidRDefault="00730313">
            <w:pPr>
              <w:spacing w:beforeAutospacing="1" w:afterAutospacing="1"/>
            </w:pPr>
            <w:r>
              <w:rPr>
                <w:color w:val="000000"/>
                <w:sz w:val="22"/>
              </w:rPr>
              <w:t>50</w:t>
            </w:r>
          </w:p>
        </w:tc>
        <w:tc>
          <w:tcPr>
            <w:tcW w:w="0" w:type="auto"/>
            <w:vAlign w:val="center"/>
          </w:tcPr>
          <w:p w14:paraId="2A029637" w14:textId="77777777" w:rsidR="00E2285C" w:rsidRDefault="00730313">
            <w:pPr>
              <w:spacing w:beforeAutospacing="1" w:afterAutospacing="1"/>
            </w:pPr>
            <w:r>
              <w:rPr>
                <w:color w:val="000000"/>
                <w:sz w:val="22"/>
              </w:rPr>
              <w:t>17</w:t>
            </w:r>
          </w:p>
        </w:tc>
        <w:tc>
          <w:tcPr>
            <w:tcW w:w="0" w:type="auto"/>
            <w:vAlign w:val="center"/>
          </w:tcPr>
          <w:p w14:paraId="40498556" w14:textId="77777777" w:rsidR="00E2285C" w:rsidRDefault="00730313">
            <w:pPr>
              <w:spacing w:beforeAutospacing="1" w:afterAutospacing="1"/>
            </w:pPr>
            <w:r>
              <w:rPr>
                <w:color w:val="000000"/>
                <w:sz w:val="22"/>
              </w:rPr>
              <w:t xml:space="preserve">        34.00%</w:t>
            </w:r>
          </w:p>
        </w:tc>
        <w:tc>
          <w:tcPr>
            <w:tcW w:w="0" w:type="auto"/>
            <w:vAlign w:val="center"/>
          </w:tcPr>
          <w:p w14:paraId="5F8D0769" w14:textId="77777777" w:rsidR="00E2285C" w:rsidRDefault="00730313">
            <w:pPr>
              <w:spacing w:beforeAutospacing="1" w:afterAutospacing="1"/>
            </w:pPr>
            <w:r>
              <w:rPr>
                <w:color w:val="000000"/>
                <w:sz w:val="22"/>
              </w:rPr>
              <w:t>22</w:t>
            </w:r>
          </w:p>
        </w:tc>
        <w:tc>
          <w:tcPr>
            <w:tcW w:w="0" w:type="auto"/>
            <w:vAlign w:val="center"/>
          </w:tcPr>
          <w:p w14:paraId="406238D0" w14:textId="77777777" w:rsidR="00E2285C" w:rsidRDefault="00730313">
            <w:pPr>
              <w:spacing w:beforeAutospacing="1" w:afterAutospacing="1"/>
            </w:pPr>
            <w:r>
              <w:rPr>
                <w:color w:val="000000"/>
                <w:sz w:val="22"/>
              </w:rPr>
              <w:t>1</w:t>
            </w:r>
          </w:p>
        </w:tc>
        <w:tc>
          <w:tcPr>
            <w:tcW w:w="0" w:type="auto"/>
            <w:vAlign w:val="center"/>
          </w:tcPr>
          <w:p w14:paraId="132A4C19" w14:textId="77777777" w:rsidR="00E2285C" w:rsidRDefault="00730313">
            <w:pPr>
              <w:spacing w:beforeAutospacing="1" w:afterAutospacing="1"/>
            </w:pPr>
            <w:r>
              <w:rPr>
                <w:color w:val="000000"/>
                <w:sz w:val="22"/>
              </w:rPr>
              <w:t xml:space="preserve">         4.55%</w:t>
            </w:r>
          </w:p>
        </w:tc>
      </w:tr>
      <w:tr w:rsidR="00E2285C" w14:paraId="5EEAE03B" w14:textId="77777777">
        <w:trPr>
          <w:cantSplit/>
        </w:trPr>
        <w:tc>
          <w:tcPr>
            <w:tcW w:w="0" w:type="auto"/>
            <w:vAlign w:val="center"/>
          </w:tcPr>
          <w:p w14:paraId="5A5C6100" w14:textId="77777777" w:rsidR="00E2285C" w:rsidRDefault="00730313">
            <w:pPr>
              <w:spacing w:beforeAutospacing="1" w:afterAutospacing="1"/>
            </w:pPr>
            <w:r>
              <w:rPr>
                <w:color w:val="000000"/>
                <w:sz w:val="22"/>
              </w:rPr>
              <w:t>Maintain Housing Stock</w:t>
            </w:r>
          </w:p>
        </w:tc>
        <w:tc>
          <w:tcPr>
            <w:tcW w:w="0" w:type="auto"/>
            <w:vAlign w:val="center"/>
          </w:tcPr>
          <w:p w14:paraId="250227C6" w14:textId="77777777" w:rsidR="00E2285C" w:rsidRDefault="00730313">
            <w:pPr>
              <w:spacing w:beforeAutospacing="1" w:afterAutospacing="1"/>
            </w:pPr>
            <w:r>
              <w:rPr>
                <w:color w:val="000000"/>
                <w:sz w:val="22"/>
              </w:rPr>
              <w:t>Affordable Housing</w:t>
            </w:r>
          </w:p>
        </w:tc>
        <w:tc>
          <w:tcPr>
            <w:tcW w:w="0" w:type="auto"/>
            <w:vAlign w:val="center"/>
          </w:tcPr>
          <w:p w14:paraId="5EBCAA8C" w14:textId="77777777" w:rsidR="00E2285C" w:rsidRDefault="00730313">
            <w:pPr>
              <w:spacing w:beforeAutospacing="1" w:afterAutospacing="1"/>
            </w:pPr>
            <w:r>
              <w:rPr>
                <w:color w:val="000000"/>
                <w:sz w:val="22"/>
              </w:rPr>
              <w:t>CDBG: $</w:t>
            </w:r>
          </w:p>
        </w:tc>
        <w:tc>
          <w:tcPr>
            <w:tcW w:w="0" w:type="auto"/>
            <w:vAlign w:val="center"/>
          </w:tcPr>
          <w:p w14:paraId="06E7B1FA" w14:textId="77777777" w:rsidR="00E2285C" w:rsidRDefault="00730313">
            <w:pPr>
              <w:spacing w:beforeAutospacing="1" w:afterAutospacing="1"/>
            </w:pPr>
            <w:r>
              <w:rPr>
                <w:color w:val="000000"/>
                <w:sz w:val="22"/>
              </w:rPr>
              <w:t>Public service activities for Low/Moderate Income Housing Benefit</w:t>
            </w:r>
          </w:p>
        </w:tc>
        <w:tc>
          <w:tcPr>
            <w:tcW w:w="0" w:type="auto"/>
            <w:vAlign w:val="center"/>
          </w:tcPr>
          <w:p w14:paraId="01A373A1" w14:textId="77777777" w:rsidR="00E2285C" w:rsidRDefault="00730313">
            <w:pPr>
              <w:spacing w:beforeAutospacing="1" w:afterAutospacing="1"/>
            </w:pPr>
            <w:r>
              <w:rPr>
                <w:color w:val="000000"/>
                <w:sz w:val="22"/>
              </w:rPr>
              <w:t>Households Assisted</w:t>
            </w:r>
          </w:p>
        </w:tc>
        <w:tc>
          <w:tcPr>
            <w:tcW w:w="0" w:type="auto"/>
            <w:vAlign w:val="center"/>
          </w:tcPr>
          <w:p w14:paraId="7697969D" w14:textId="77777777" w:rsidR="00E2285C" w:rsidRDefault="00730313">
            <w:pPr>
              <w:spacing w:beforeAutospacing="1" w:afterAutospacing="1"/>
            </w:pPr>
            <w:r>
              <w:rPr>
                <w:color w:val="000000"/>
                <w:sz w:val="22"/>
              </w:rPr>
              <w:t>47</w:t>
            </w:r>
          </w:p>
        </w:tc>
        <w:tc>
          <w:tcPr>
            <w:tcW w:w="0" w:type="auto"/>
            <w:vAlign w:val="center"/>
          </w:tcPr>
          <w:p w14:paraId="307A0EE8" w14:textId="77777777" w:rsidR="00E2285C" w:rsidRDefault="00730313">
            <w:pPr>
              <w:spacing w:beforeAutospacing="1" w:afterAutospacing="1"/>
            </w:pPr>
            <w:r>
              <w:rPr>
                <w:color w:val="000000"/>
                <w:sz w:val="22"/>
              </w:rPr>
              <w:t>18</w:t>
            </w:r>
          </w:p>
        </w:tc>
        <w:tc>
          <w:tcPr>
            <w:tcW w:w="0" w:type="auto"/>
            <w:vAlign w:val="center"/>
          </w:tcPr>
          <w:p w14:paraId="559AA1B0" w14:textId="77777777" w:rsidR="00E2285C" w:rsidRDefault="00730313">
            <w:pPr>
              <w:spacing w:beforeAutospacing="1" w:afterAutospacing="1"/>
            </w:pPr>
            <w:r>
              <w:rPr>
                <w:color w:val="000000"/>
                <w:sz w:val="22"/>
              </w:rPr>
              <w:t xml:space="preserve">        38.30%</w:t>
            </w:r>
          </w:p>
        </w:tc>
        <w:tc>
          <w:tcPr>
            <w:tcW w:w="0" w:type="auto"/>
            <w:vAlign w:val="center"/>
          </w:tcPr>
          <w:p w14:paraId="2839BAC0" w14:textId="77777777" w:rsidR="00E2285C" w:rsidRDefault="00730313">
            <w:pPr>
              <w:spacing w:beforeAutospacing="1" w:afterAutospacing="1"/>
            </w:pPr>
            <w:r>
              <w:rPr>
                <w:color w:val="000000"/>
                <w:sz w:val="22"/>
              </w:rPr>
              <w:t xml:space="preserve"> </w:t>
            </w:r>
          </w:p>
        </w:tc>
        <w:tc>
          <w:tcPr>
            <w:tcW w:w="0" w:type="auto"/>
            <w:vAlign w:val="center"/>
          </w:tcPr>
          <w:p w14:paraId="49BE1B1C" w14:textId="77777777" w:rsidR="00E2285C" w:rsidRDefault="00730313">
            <w:pPr>
              <w:spacing w:beforeAutospacing="1" w:afterAutospacing="1"/>
            </w:pPr>
            <w:r>
              <w:rPr>
                <w:color w:val="000000"/>
                <w:sz w:val="22"/>
              </w:rPr>
              <w:t xml:space="preserve"> </w:t>
            </w:r>
          </w:p>
        </w:tc>
        <w:tc>
          <w:tcPr>
            <w:tcW w:w="0" w:type="auto"/>
            <w:vAlign w:val="center"/>
          </w:tcPr>
          <w:p w14:paraId="1D22E654" w14:textId="77777777" w:rsidR="00E2285C" w:rsidRDefault="00730313">
            <w:pPr>
              <w:spacing w:beforeAutospacing="1" w:afterAutospacing="1"/>
            </w:pPr>
            <w:r>
              <w:rPr>
                <w:color w:val="000000"/>
                <w:sz w:val="22"/>
              </w:rPr>
              <w:t xml:space="preserve"> </w:t>
            </w:r>
          </w:p>
        </w:tc>
      </w:tr>
      <w:tr w:rsidR="00E2285C" w14:paraId="66AC760C" w14:textId="77777777">
        <w:trPr>
          <w:cantSplit/>
        </w:trPr>
        <w:tc>
          <w:tcPr>
            <w:tcW w:w="0" w:type="auto"/>
            <w:vAlign w:val="center"/>
          </w:tcPr>
          <w:p w14:paraId="73A92EB7" w14:textId="77777777" w:rsidR="00E2285C" w:rsidRDefault="00730313">
            <w:pPr>
              <w:spacing w:beforeAutospacing="1" w:afterAutospacing="1"/>
            </w:pPr>
            <w:r>
              <w:rPr>
                <w:color w:val="000000"/>
                <w:sz w:val="22"/>
              </w:rPr>
              <w:t>Maintain Housing Stock</w:t>
            </w:r>
          </w:p>
        </w:tc>
        <w:tc>
          <w:tcPr>
            <w:tcW w:w="0" w:type="auto"/>
            <w:vAlign w:val="center"/>
          </w:tcPr>
          <w:p w14:paraId="3C722947" w14:textId="77777777" w:rsidR="00E2285C" w:rsidRDefault="00730313">
            <w:pPr>
              <w:spacing w:beforeAutospacing="1" w:afterAutospacing="1"/>
            </w:pPr>
            <w:r>
              <w:rPr>
                <w:color w:val="000000"/>
                <w:sz w:val="22"/>
              </w:rPr>
              <w:t>Affordable Housing</w:t>
            </w:r>
          </w:p>
        </w:tc>
        <w:tc>
          <w:tcPr>
            <w:tcW w:w="0" w:type="auto"/>
            <w:vAlign w:val="center"/>
          </w:tcPr>
          <w:p w14:paraId="02A659F2" w14:textId="77777777" w:rsidR="00E2285C" w:rsidRDefault="00730313">
            <w:pPr>
              <w:spacing w:beforeAutospacing="1" w:afterAutospacing="1"/>
            </w:pPr>
            <w:r>
              <w:rPr>
                <w:color w:val="000000"/>
                <w:sz w:val="22"/>
              </w:rPr>
              <w:t>CDBG: $</w:t>
            </w:r>
          </w:p>
        </w:tc>
        <w:tc>
          <w:tcPr>
            <w:tcW w:w="0" w:type="auto"/>
            <w:vAlign w:val="center"/>
          </w:tcPr>
          <w:p w14:paraId="42D54186" w14:textId="77777777" w:rsidR="00E2285C" w:rsidRDefault="00730313">
            <w:pPr>
              <w:spacing w:beforeAutospacing="1" w:afterAutospacing="1"/>
            </w:pPr>
            <w:r>
              <w:rPr>
                <w:color w:val="000000"/>
                <w:sz w:val="22"/>
              </w:rPr>
              <w:t>Rental units rehabilitated</w:t>
            </w:r>
          </w:p>
        </w:tc>
        <w:tc>
          <w:tcPr>
            <w:tcW w:w="0" w:type="auto"/>
            <w:vAlign w:val="center"/>
          </w:tcPr>
          <w:p w14:paraId="0A3F9CC2" w14:textId="77777777" w:rsidR="00E2285C" w:rsidRDefault="00730313">
            <w:pPr>
              <w:spacing w:beforeAutospacing="1" w:afterAutospacing="1"/>
            </w:pPr>
            <w:r>
              <w:rPr>
                <w:color w:val="000000"/>
                <w:sz w:val="22"/>
              </w:rPr>
              <w:t>Household Housing Unit</w:t>
            </w:r>
          </w:p>
        </w:tc>
        <w:tc>
          <w:tcPr>
            <w:tcW w:w="0" w:type="auto"/>
            <w:vAlign w:val="center"/>
          </w:tcPr>
          <w:p w14:paraId="456D783F" w14:textId="77777777" w:rsidR="00E2285C" w:rsidRDefault="00730313">
            <w:pPr>
              <w:spacing w:beforeAutospacing="1" w:afterAutospacing="1"/>
            </w:pPr>
            <w:r>
              <w:rPr>
                <w:color w:val="000000"/>
                <w:sz w:val="22"/>
              </w:rPr>
              <w:t>50</w:t>
            </w:r>
          </w:p>
        </w:tc>
        <w:tc>
          <w:tcPr>
            <w:tcW w:w="0" w:type="auto"/>
            <w:vAlign w:val="center"/>
          </w:tcPr>
          <w:p w14:paraId="13AAE474" w14:textId="77777777" w:rsidR="00E2285C" w:rsidRDefault="00730313">
            <w:pPr>
              <w:spacing w:beforeAutospacing="1" w:afterAutospacing="1"/>
            </w:pPr>
            <w:r>
              <w:rPr>
                <w:color w:val="000000"/>
                <w:sz w:val="22"/>
              </w:rPr>
              <w:t>57</w:t>
            </w:r>
          </w:p>
        </w:tc>
        <w:tc>
          <w:tcPr>
            <w:tcW w:w="0" w:type="auto"/>
            <w:vAlign w:val="center"/>
          </w:tcPr>
          <w:p w14:paraId="1E0AE845" w14:textId="77777777" w:rsidR="00E2285C" w:rsidRDefault="00730313">
            <w:pPr>
              <w:spacing w:beforeAutospacing="1" w:afterAutospacing="1"/>
            </w:pPr>
            <w:r>
              <w:rPr>
                <w:color w:val="000000"/>
                <w:sz w:val="22"/>
              </w:rPr>
              <w:t xml:space="preserve">       114.00%</w:t>
            </w:r>
          </w:p>
        </w:tc>
        <w:tc>
          <w:tcPr>
            <w:tcW w:w="0" w:type="auto"/>
            <w:vAlign w:val="center"/>
          </w:tcPr>
          <w:p w14:paraId="237D6666" w14:textId="77777777" w:rsidR="00E2285C" w:rsidRDefault="00730313">
            <w:pPr>
              <w:spacing w:beforeAutospacing="1" w:afterAutospacing="1"/>
            </w:pPr>
            <w:r>
              <w:rPr>
                <w:color w:val="000000"/>
                <w:sz w:val="22"/>
              </w:rPr>
              <w:t>7</w:t>
            </w:r>
          </w:p>
        </w:tc>
        <w:tc>
          <w:tcPr>
            <w:tcW w:w="0" w:type="auto"/>
            <w:vAlign w:val="center"/>
          </w:tcPr>
          <w:p w14:paraId="1CCE2DE6" w14:textId="77777777" w:rsidR="00E2285C" w:rsidRDefault="00730313">
            <w:pPr>
              <w:spacing w:beforeAutospacing="1" w:afterAutospacing="1"/>
            </w:pPr>
            <w:r>
              <w:rPr>
                <w:color w:val="000000"/>
                <w:sz w:val="22"/>
              </w:rPr>
              <w:t>9</w:t>
            </w:r>
          </w:p>
        </w:tc>
        <w:tc>
          <w:tcPr>
            <w:tcW w:w="0" w:type="auto"/>
            <w:vAlign w:val="center"/>
          </w:tcPr>
          <w:p w14:paraId="2CC3980A" w14:textId="77777777" w:rsidR="00E2285C" w:rsidRDefault="00730313">
            <w:pPr>
              <w:spacing w:beforeAutospacing="1" w:afterAutospacing="1"/>
            </w:pPr>
            <w:r>
              <w:rPr>
                <w:color w:val="000000"/>
                <w:sz w:val="22"/>
              </w:rPr>
              <w:t xml:space="preserve">       128.57%</w:t>
            </w:r>
          </w:p>
        </w:tc>
      </w:tr>
      <w:tr w:rsidR="00E2285C" w14:paraId="4A9971D3" w14:textId="77777777">
        <w:trPr>
          <w:cantSplit/>
        </w:trPr>
        <w:tc>
          <w:tcPr>
            <w:tcW w:w="0" w:type="auto"/>
            <w:vAlign w:val="center"/>
          </w:tcPr>
          <w:p w14:paraId="01398FF7" w14:textId="77777777" w:rsidR="00E2285C" w:rsidRDefault="00730313">
            <w:pPr>
              <w:spacing w:beforeAutospacing="1" w:afterAutospacing="1"/>
            </w:pPr>
            <w:r>
              <w:rPr>
                <w:color w:val="000000"/>
                <w:sz w:val="22"/>
              </w:rPr>
              <w:t>Maintain Housing Stock</w:t>
            </w:r>
          </w:p>
        </w:tc>
        <w:tc>
          <w:tcPr>
            <w:tcW w:w="0" w:type="auto"/>
            <w:vAlign w:val="center"/>
          </w:tcPr>
          <w:p w14:paraId="1854B5E6" w14:textId="77777777" w:rsidR="00E2285C" w:rsidRDefault="00730313">
            <w:pPr>
              <w:spacing w:beforeAutospacing="1" w:afterAutospacing="1"/>
            </w:pPr>
            <w:r>
              <w:rPr>
                <w:color w:val="000000"/>
                <w:sz w:val="22"/>
              </w:rPr>
              <w:t>Affordable Housing</w:t>
            </w:r>
          </w:p>
        </w:tc>
        <w:tc>
          <w:tcPr>
            <w:tcW w:w="0" w:type="auto"/>
            <w:vAlign w:val="center"/>
          </w:tcPr>
          <w:p w14:paraId="04D2F0C2" w14:textId="77777777" w:rsidR="00E2285C" w:rsidRDefault="00730313">
            <w:pPr>
              <w:spacing w:beforeAutospacing="1" w:afterAutospacing="1"/>
            </w:pPr>
            <w:r>
              <w:rPr>
                <w:color w:val="000000"/>
                <w:sz w:val="22"/>
              </w:rPr>
              <w:t>CDBG: $</w:t>
            </w:r>
          </w:p>
        </w:tc>
        <w:tc>
          <w:tcPr>
            <w:tcW w:w="0" w:type="auto"/>
            <w:vAlign w:val="center"/>
          </w:tcPr>
          <w:p w14:paraId="2B6AE3EF" w14:textId="77777777" w:rsidR="00E2285C" w:rsidRDefault="00730313">
            <w:pPr>
              <w:spacing w:beforeAutospacing="1" w:afterAutospacing="1"/>
            </w:pPr>
            <w:r>
              <w:rPr>
                <w:color w:val="000000"/>
                <w:sz w:val="22"/>
              </w:rPr>
              <w:t>Homeowner Housing Rehabilitated</w:t>
            </w:r>
          </w:p>
        </w:tc>
        <w:tc>
          <w:tcPr>
            <w:tcW w:w="0" w:type="auto"/>
            <w:vAlign w:val="center"/>
          </w:tcPr>
          <w:p w14:paraId="3EB7126A" w14:textId="77777777" w:rsidR="00E2285C" w:rsidRDefault="00730313">
            <w:pPr>
              <w:spacing w:beforeAutospacing="1" w:afterAutospacing="1"/>
            </w:pPr>
            <w:r>
              <w:rPr>
                <w:color w:val="000000"/>
                <w:sz w:val="22"/>
              </w:rPr>
              <w:t>Household Housing Unit</w:t>
            </w:r>
          </w:p>
        </w:tc>
        <w:tc>
          <w:tcPr>
            <w:tcW w:w="0" w:type="auto"/>
            <w:vAlign w:val="center"/>
          </w:tcPr>
          <w:p w14:paraId="104A52C0" w14:textId="77777777" w:rsidR="00E2285C" w:rsidRDefault="00730313">
            <w:pPr>
              <w:spacing w:beforeAutospacing="1" w:afterAutospacing="1"/>
            </w:pPr>
            <w:r>
              <w:rPr>
                <w:color w:val="000000"/>
                <w:sz w:val="22"/>
              </w:rPr>
              <w:t>125</w:t>
            </w:r>
          </w:p>
        </w:tc>
        <w:tc>
          <w:tcPr>
            <w:tcW w:w="0" w:type="auto"/>
            <w:vAlign w:val="center"/>
          </w:tcPr>
          <w:p w14:paraId="0E5550A4" w14:textId="77777777" w:rsidR="00E2285C" w:rsidRDefault="00730313">
            <w:pPr>
              <w:spacing w:beforeAutospacing="1" w:afterAutospacing="1"/>
            </w:pPr>
            <w:r>
              <w:rPr>
                <w:color w:val="000000"/>
                <w:sz w:val="22"/>
              </w:rPr>
              <w:t>65</w:t>
            </w:r>
          </w:p>
        </w:tc>
        <w:tc>
          <w:tcPr>
            <w:tcW w:w="0" w:type="auto"/>
            <w:vAlign w:val="center"/>
          </w:tcPr>
          <w:p w14:paraId="7A036297" w14:textId="77777777" w:rsidR="00E2285C" w:rsidRDefault="00730313">
            <w:pPr>
              <w:spacing w:beforeAutospacing="1" w:afterAutospacing="1"/>
            </w:pPr>
            <w:r>
              <w:rPr>
                <w:color w:val="000000"/>
                <w:sz w:val="22"/>
              </w:rPr>
              <w:t xml:space="preserve">        52.00%</w:t>
            </w:r>
          </w:p>
        </w:tc>
        <w:tc>
          <w:tcPr>
            <w:tcW w:w="0" w:type="auto"/>
            <w:vAlign w:val="center"/>
          </w:tcPr>
          <w:p w14:paraId="6EEA31D7" w14:textId="77777777" w:rsidR="00E2285C" w:rsidRDefault="00730313">
            <w:pPr>
              <w:spacing w:beforeAutospacing="1" w:afterAutospacing="1"/>
            </w:pPr>
            <w:r>
              <w:rPr>
                <w:color w:val="000000"/>
                <w:sz w:val="22"/>
              </w:rPr>
              <w:t>25</w:t>
            </w:r>
          </w:p>
        </w:tc>
        <w:tc>
          <w:tcPr>
            <w:tcW w:w="0" w:type="auto"/>
            <w:vAlign w:val="center"/>
          </w:tcPr>
          <w:p w14:paraId="2986F008" w14:textId="77777777" w:rsidR="00E2285C" w:rsidRDefault="00730313">
            <w:pPr>
              <w:spacing w:beforeAutospacing="1" w:afterAutospacing="1"/>
            </w:pPr>
            <w:r>
              <w:rPr>
                <w:color w:val="000000"/>
                <w:sz w:val="22"/>
              </w:rPr>
              <w:t>17</w:t>
            </w:r>
          </w:p>
        </w:tc>
        <w:tc>
          <w:tcPr>
            <w:tcW w:w="0" w:type="auto"/>
            <w:vAlign w:val="center"/>
          </w:tcPr>
          <w:p w14:paraId="38B31E2D" w14:textId="77777777" w:rsidR="00E2285C" w:rsidRDefault="00730313">
            <w:pPr>
              <w:spacing w:beforeAutospacing="1" w:afterAutospacing="1"/>
            </w:pPr>
            <w:r>
              <w:rPr>
                <w:color w:val="000000"/>
                <w:sz w:val="22"/>
              </w:rPr>
              <w:t xml:space="preserve">        68.00%</w:t>
            </w:r>
          </w:p>
        </w:tc>
      </w:tr>
      <w:tr w:rsidR="00E2285C" w14:paraId="5DCF3CBD" w14:textId="77777777">
        <w:trPr>
          <w:cantSplit/>
        </w:trPr>
        <w:tc>
          <w:tcPr>
            <w:tcW w:w="0" w:type="auto"/>
            <w:vAlign w:val="center"/>
          </w:tcPr>
          <w:p w14:paraId="7BB07E72" w14:textId="77777777" w:rsidR="00E2285C" w:rsidRDefault="00730313">
            <w:pPr>
              <w:spacing w:beforeAutospacing="1" w:afterAutospacing="1"/>
            </w:pPr>
            <w:r>
              <w:rPr>
                <w:color w:val="000000"/>
                <w:sz w:val="22"/>
              </w:rPr>
              <w:t>Maintain Housing Stock</w:t>
            </w:r>
          </w:p>
        </w:tc>
        <w:tc>
          <w:tcPr>
            <w:tcW w:w="0" w:type="auto"/>
            <w:vAlign w:val="center"/>
          </w:tcPr>
          <w:p w14:paraId="3CEFD09A" w14:textId="77777777" w:rsidR="00E2285C" w:rsidRDefault="00730313">
            <w:pPr>
              <w:spacing w:beforeAutospacing="1" w:afterAutospacing="1"/>
            </w:pPr>
            <w:r>
              <w:rPr>
                <w:color w:val="000000"/>
                <w:sz w:val="22"/>
              </w:rPr>
              <w:t>Affordable Housing</w:t>
            </w:r>
          </w:p>
        </w:tc>
        <w:tc>
          <w:tcPr>
            <w:tcW w:w="0" w:type="auto"/>
            <w:vAlign w:val="center"/>
          </w:tcPr>
          <w:p w14:paraId="57228115" w14:textId="77777777" w:rsidR="00E2285C" w:rsidRDefault="00730313">
            <w:pPr>
              <w:spacing w:beforeAutospacing="1" w:afterAutospacing="1"/>
            </w:pPr>
            <w:r>
              <w:rPr>
                <w:color w:val="000000"/>
                <w:sz w:val="22"/>
              </w:rPr>
              <w:t>CDBG: $</w:t>
            </w:r>
          </w:p>
        </w:tc>
        <w:tc>
          <w:tcPr>
            <w:tcW w:w="0" w:type="auto"/>
            <w:vAlign w:val="center"/>
          </w:tcPr>
          <w:p w14:paraId="61BED400" w14:textId="77777777" w:rsidR="00E2285C" w:rsidRDefault="00730313">
            <w:pPr>
              <w:spacing w:beforeAutospacing="1" w:afterAutospacing="1"/>
            </w:pPr>
            <w:r>
              <w:rPr>
                <w:color w:val="000000"/>
                <w:sz w:val="22"/>
              </w:rPr>
              <w:t>Housing Code Enforcement/Foreclosed Property Care</w:t>
            </w:r>
          </w:p>
        </w:tc>
        <w:tc>
          <w:tcPr>
            <w:tcW w:w="0" w:type="auto"/>
            <w:vAlign w:val="center"/>
          </w:tcPr>
          <w:p w14:paraId="70D7E7E0" w14:textId="77777777" w:rsidR="00E2285C" w:rsidRDefault="00730313">
            <w:pPr>
              <w:spacing w:beforeAutospacing="1" w:afterAutospacing="1"/>
            </w:pPr>
            <w:r>
              <w:rPr>
                <w:color w:val="000000"/>
                <w:sz w:val="22"/>
              </w:rPr>
              <w:t>Household Housing Unit</w:t>
            </w:r>
          </w:p>
        </w:tc>
        <w:tc>
          <w:tcPr>
            <w:tcW w:w="0" w:type="auto"/>
            <w:vAlign w:val="center"/>
          </w:tcPr>
          <w:p w14:paraId="25E78173" w14:textId="77777777" w:rsidR="00E2285C" w:rsidRDefault="00730313">
            <w:pPr>
              <w:spacing w:beforeAutospacing="1" w:afterAutospacing="1"/>
            </w:pPr>
            <w:r>
              <w:rPr>
                <w:color w:val="000000"/>
                <w:sz w:val="22"/>
              </w:rPr>
              <w:t>0</w:t>
            </w:r>
          </w:p>
        </w:tc>
        <w:tc>
          <w:tcPr>
            <w:tcW w:w="0" w:type="auto"/>
            <w:vAlign w:val="center"/>
          </w:tcPr>
          <w:p w14:paraId="3D5DE308" w14:textId="77777777" w:rsidR="00E2285C" w:rsidRDefault="00730313">
            <w:pPr>
              <w:spacing w:beforeAutospacing="1" w:afterAutospacing="1"/>
            </w:pPr>
            <w:r>
              <w:rPr>
                <w:color w:val="000000"/>
                <w:sz w:val="22"/>
              </w:rPr>
              <w:t>1</w:t>
            </w:r>
          </w:p>
        </w:tc>
        <w:tc>
          <w:tcPr>
            <w:tcW w:w="0" w:type="auto"/>
            <w:vAlign w:val="center"/>
          </w:tcPr>
          <w:p w14:paraId="55DB83F8" w14:textId="77777777" w:rsidR="00E2285C" w:rsidRDefault="00730313">
            <w:pPr>
              <w:spacing w:beforeAutospacing="1" w:afterAutospacing="1"/>
            </w:pPr>
            <w:r>
              <w:rPr>
                <w:color w:val="000000"/>
                <w:sz w:val="22"/>
              </w:rPr>
              <w:t xml:space="preserve"> </w:t>
            </w:r>
          </w:p>
        </w:tc>
        <w:tc>
          <w:tcPr>
            <w:tcW w:w="0" w:type="auto"/>
            <w:vAlign w:val="center"/>
          </w:tcPr>
          <w:p w14:paraId="6162A7AB" w14:textId="77777777" w:rsidR="00E2285C" w:rsidRDefault="00730313">
            <w:pPr>
              <w:spacing w:beforeAutospacing="1" w:afterAutospacing="1"/>
            </w:pPr>
            <w:r>
              <w:rPr>
                <w:color w:val="000000"/>
                <w:sz w:val="22"/>
              </w:rPr>
              <w:t xml:space="preserve"> </w:t>
            </w:r>
          </w:p>
        </w:tc>
        <w:tc>
          <w:tcPr>
            <w:tcW w:w="0" w:type="auto"/>
            <w:vAlign w:val="center"/>
          </w:tcPr>
          <w:p w14:paraId="20C73E83" w14:textId="77777777" w:rsidR="00E2285C" w:rsidRDefault="00730313">
            <w:pPr>
              <w:spacing w:beforeAutospacing="1" w:afterAutospacing="1"/>
            </w:pPr>
            <w:r>
              <w:rPr>
                <w:color w:val="000000"/>
                <w:sz w:val="22"/>
              </w:rPr>
              <w:t xml:space="preserve"> </w:t>
            </w:r>
          </w:p>
        </w:tc>
        <w:tc>
          <w:tcPr>
            <w:tcW w:w="0" w:type="auto"/>
            <w:vAlign w:val="center"/>
          </w:tcPr>
          <w:p w14:paraId="16B5F6F1" w14:textId="77777777" w:rsidR="00E2285C" w:rsidRDefault="00730313">
            <w:pPr>
              <w:spacing w:beforeAutospacing="1" w:afterAutospacing="1"/>
            </w:pPr>
            <w:r>
              <w:rPr>
                <w:color w:val="000000"/>
                <w:sz w:val="22"/>
              </w:rPr>
              <w:t xml:space="preserve"> </w:t>
            </w:r>
          </w:p>
        </w:tc>
      </w:tr>
      <w:tr w:rsidR="00E2285C" w14:paraId="18F6F632" w14:textId="77777777">
        <w:trPr>
          <w:cantSplit/>
        </w:trPr>
        <w:tc>
          <w:tcPr>
            <w:tcW w:w="0" w:type="auto"/>
            <w:vAlign w:val="center"/>
          </w:tcPr>
          <w:p w14:paraId="7259F98C" w14:textId="77777777" w:rsidR="00E2285C" w:rsidRDefault="00730313">
            <w:pPr>
              <w:spacing w:beforeAutospacing="1" w:afterAutospacing="1"/>
            </w:pPr>
            <w:r>
              <w:rPr>
                <w:color w:val="000000"/>
                <w:sz w:val="22"/>
              </w:rPr>
              <w:lastRenderedPageBreak/>
              <w:t>Maintain Housing Stock</w:t>
            </w:r>
          </w:p>
        </w:tc>
        <w:tc>
          <w:tcPr>
            <w:tcW w:w="0" w:type="auto"/>
            <w:vAlign w:val="center"/>
          </w:tcPr>
          <w:p w14:paraId="00C7565E" w14:textId="77777777" w:rsidR="00E2285C" w:rsidRDefault="00730313">
            <w:pPr>
              <w:spacing w:beforeAutospacing="1" w:afterAutospacing="1"/>
            </w:pPr>
            <w:r>
              <w:rPr>
                <w:color w:val="000000"/>
                <w:sz w:val="22"/>
              </w:rPr>
              <w:t>Affordable Housing</w:t>
            </w:r>
          </w:p>
        </w:tc>
        <w:tc>
          <w:tcPr>
            <w:tcW w:w="0" w:type="auto"/>
            <w:vAlign w:val="center"/>
          </w:tcPr>
          <w:p w14:paraId="7A48F3D7" w14:textId="77777777" w:rsidR="00E2285C" w:rsidRDefault="00730313">
            <w:pPr>
              <w:spacing w:beforeAutospacing="1" w:afterAutospacing="1"/>
            </w:pPr>
            <w:r>
              <w:rPr>
                <w:color w:val="000000"/>
                <w:sz w:val="22"/>
              </w:rPr>
              <w:t>CDBG: $</w:t>
            </w:r>
          </w:p>
        </w:tc>
        <w:tc>
          <w:tcPr>
            <w:tcW w:w="0" w:type="auto"/>
            <w:vAlign w:val="center"/>
          </w:tcPr>
          <w:p w14:paraId="5BBF78F0" w14:textId="77777777" w:rsidR="00E2285C" w:rsidRDefault="00730313">
            <w:pPr>
              <w:spacing w:beforeAutospacing="1" w:afterAutospacing="1"/>
            </w:pPr>
            <w:r>
              <w:rPr>
                <w:color w:val="000000"/>
                <w:sz w:val="22"/>
              </w:rPr>
              <w:t>Other</w:t>
            </w:r>
          </w:p>
        </w:tc>
        <w:tc>
          <w:tcPr>
            <w:tcW w:w="0" w:type="auto"/>
            <w:vAlign w:val="center"/>
          </w:tcPr>
          <w:p w14:paraId="5B8F81E7" w14:textId="77777777" w:rsidR="00E2285C" w:rsidRDefault="00730313">
            <w:pPr>
              <w:spacing w:beforeAutospacing="1" w:afterAutospacing="1"/>
            </w:pPr>
            <w:r>
              <w:rPr>
                <w:color w:val="000000"/>
                <w:sz w:val="22"/>
              </w:rPr>
              <w:t>Other</w:t>
            </w:r>
          </w:p>
        </w:tc>
        <w:tc>
          <w:tcPr>
            <w:tcW w:w="0" w:type="auto"/>
            <w:vAlign w:val="center"/>
          </w:tcPr>
          <w:p w14:paraId="2B775848" w14:textId="77777777" w:rsidR="00E2285C" w:rsidRDefault="00730313">
            <w:pPr>
              <w:spacing w:beforeAutospacing="1" w:afterAutospacing="1"/>
            </w:pPr>
            <w:r>
              <w:rPr>
                <w:color w:val="000000"/>
                <w:sz w:val="22"/>
              </w:rPr>
              <w:t>18</w:t>
            </w:r>
          </w:p>
        </w:tc>
        <w:tc>
          <w:tcPr>
            <w:tcW w:w="0" w:type="auto"/>
            <w:vAlign w:val="center"/>
          </w:tcPr>
          <w:p w14:paraId="1C828213" w14:textId="77777777" w:rsidR="00E2285C" w:rsidRDefault="00730313">
            <w:pPr>
              <w:spacing w:beforeAutospacing="1" w:afterAutospacing="1"/>
            </w:pPr>
            <w:r>
              <w:rPr>
                <w:color w:val="000000"/>
                <w:sz w:val="22"/>
              </w:rPr>
              <w:t>11</w:t>
            </w:r>
          </w:p>
        </w:tc>
        <w:tc>
          <w:tcPr>
            <w:tcW w:w="0" w:type="auto"/>
            <w:vAlign w:val="center"/>
          </w:tcPr>
          <w:p w14:paraId="55C4C40E" w14:textId="77777777" w:rsidR="00E2285C" w:rsidRDefault="00730313">
            <w:pPr>
              <w:spacing w:beforeAutospacing="1" w:afterAutospacing="1"/>
            </w:pPr>
            <w:r>
              <w:rPr>
                <w:color w:val="000000"/>
                <w:sz w:val="22"/>
              </w:rPr>
              <w:t xml:space="preserve">        61.11%</w:t>
            </w:r>
          </w:p>
        </w:tc>
        <w:tc>
          <w:tcPr>
            <w:tcW w:w="0" w:type="auto"/>
            <w:vAlign w:val="center"/>
          </w:tcPr>
          <w:p w14:paraId="78A22CEB" w14:textId="77777777" w:rsidR="00E2285C" w:rsidRDefault="00730313">
            <w:pPr>
              <w:spacing w:beforeAutospacing="1" w:afterAutospacing="1"/>
            </w:pPr>
            <w:r>
              <w:rPr>
                <w:color w:val="000000"/>
                <w:sz w:val="22"/>
              </w:rPr>
              <w:t>3</w:t>
            </w:r>
          </w:p>
        </w:tc>
        <w:tc>
          <w:tcPr>
            <w:tcW w:w="0" w:type="auto"/>
            <w:vAlign w:val="center"/>
          </w:tcPr>
          <w:p w14:paraId="00A2196D" w14:textId="77777777" w:rsidR="00E2285C" w:rsidRDefault="00730313">
            <w:pPr>
              <w:spacing w:beforeAutospacing="1" w:afterAutospacing="1"/>
            </w:pPr>
            <w:r>
              <w:rPr>
                <w:color w:val="000000"/>
                <w:sz w:val="22"/>
              </w:rPr>
              <w:t>5</w:t>
            </w:r>
          </w:p>
        </w:tc>
        <w:tc>
          <w:tcPr>
            <w:tcW w:w="0" w:type="auto"/>
            <w:vAlign w:val="center"/>
          </w:tcPr>
          <w:p w14:paraId="65B62D5B" w14:textId="77777777" w:rsidR="00E2285C" w:rsidRDefault="00730313">
            <w:pPr>
              <w:spacing w:beforeAutospacing="1" w:afterAutospacing="1"/>
            </w:pPr>
            <w:r>
              <w:rPr>
                <w:color w:val="000000"/>
                <w:sz w:val="22"/>
              </w:rPr>
              <w:t xml:space="preserve">       166.67%</w:t>
            </w:r>
          </w:p>
        </w:tc>
      </w:tr>
      <w:tr w:rsidR="00E2285C" w14:paraId="208DC170" w14:textId="77777777">
        <w:trPr>
          <w:cantSplit/>
        </w:trPr>
        <w:tc>
          <w:tcPr>
            <w:tcW w:w="0" w:type="auto"/>
            <w:vAlign w:val="center"/>
          </w:tcPr>
          <w:p w14:paraId="554F9DF3" w14:textId="77777777" w:rsidR="00E2285C" w:rsidRDefault="00730313">
            <w:pPr>
              <w:spacing w:beforeAutospacing="1" w:afterAutospacing="1"/>
            </w:pPr>
            <w:r>
              <w:rPr>
                <w:color w:val="000000"/>
                <w:sz w:val="22"/>
              </w:rPr>
              <w:t>Promote Neighborhood-Based Economic Development</w:t>
            </w:r>
          </w:p>
        </w:tc>
        <w:tc>
          <w:tcPr>
            <w:tcW w:w="0" w:type="auto"/>
            <w:vAlign w:val="center"/>
          </w:tcPr>
          <w:p w14:paraId="6A6B5F8C" w14:textId="77777777" w:rsidR="00E2285C" w:rsidRDefault="00730313">
            <w:pPr>
              <w:spacing w:beforeAutospacing="1" w:afterAutospacing="1"/>
            </w:pPr>
            <w:r>
              <w:rPr>
                <w:color w:val="000000"/>
                <w:sz w:val="22"/>
              </w:rPr>
              <w:t>Non-Housing Community Development</w:t>
            </w:r>
          </w:p>
        </w:tc>
        <w:tc>
          <w:tcPr>
            <w:tcW w:w="0" w:type="auto"/>
            <w:vAlign w:val="center"/>
          </w:tcPr>
          <w:p w14:paraId="343D69C2" w14:textId="77777777" w:rsidR="00E2285C" w:rsidRDefault="00730313">
            <w:pPr>
              <w:spacing w:beforeAutospacing="1" w:afterAutospacing="1"/>
            </w:pPr>
            <w:r>
              <w:rPr>
                <w:color w:val="000000"/>
                <w:sz w:val="22"/>
              </w:rPr>
              <w:t>CDBG: $</w:t>
            </w:r>
          </w:p>
        </w:tc>
        <w:tc>
          <w:tcPr>
            <w:tcW w:w="0" w:type="auto"/>
            <w:vAlign w:val="center"/>
          </w:tcPr>
          <w:p w14:paraId="330F0088" w14:textId="77777777" w:rsidR="00E2285C" w:rsidRDefault="00730313">
            <w:pPr>
              <w:spacing w:beforeAutospacing="1" w:afterAutospacing="1"/>
            </w:pPr>
            <w:r>
              <w:rPr>
                <w:color w:val="000000"/>
                <w:sz w:val="22"/>
              </w:rPr>
              <w:t>Facade treatment/business building rehabilitation</w:t>
            </w:r>
          </w:p>
        </w:tc>
        <w:tc>
          <w:tcPr>
            <w:tcW w:w="0" w:type="auto"/>
            <w:vAlign w:val="center"/>
          </w:tcPr>
          <w:p w14:paraId="61943F11" w14:textId="77777777" w:rsidR="00E2285C" w:rsidRDefault="00730313">
            <w:pPr>
              <w:spacing w:beforeAutospacing="1" w:afterAutospacing="1"/>
            </w:pPr>
            <w:r>
              <w:rPr>
                <w:color w:val="000000"/>
                <w:sz w:val="22"/>
              </w:rPr>
              <w:t>Business</w:t>
            </w:r>
          </w:p>
        </w:tc>
        <w:tc>
          <w:tcPr>
            <w:tcW w:w="0" w:type="auto"/>
            <w:vAlign w:val="center"/>
          </w:tcPr>
          <w:p w14:paraId="0F444AF7" w14:textId="77777777" w:rsidR="00E2285C" w:rsidRDefault="00730313">
            <w:pPr>
              <w:spacing w:beforeAutospacing="1" w:afterAutospacing="1"/>
            </w:pPr>
            <w:r>
              <w:rPr>
                <w:color w:val="000000"/>
                <w:sz w:val="22"/>
              </w:rPr>
              <w:t>8</w:t>
            </w:r>
          </w:p>
        </w:tc>
        <w:tc>
          <w:tcPr>
            <w:tcW w:w="0" w:type="auto"/>
            <w:vAlign w:val="center"/>
          </w:tcPr>
          <w:p w14:paraId="49FCACC3" w14:textId="77777777" w:rsidR="00E2285C" w:rsidRDefault="00730313">
            <w:pPr>
              <w:spacing w:beforeAutospacing="1" w:afterAutospacing="1"/>
            </w:pPr>
            <w:r>
              <w:rPr>
                <w:color w:val="000000"/>
                <w:sz w:val="22"/>
              </w:rPr>
              <w:t>4</w:t>
            </w:r>
          </w:p>
        </w:tc>
        <w:tc>
          <w:tcPr>
            <w:tcW w:w="0" w:type="auto"/>
            <w:vAlign w:val="center"/>
          </w:tcPr>
          <w:p w14:paraId="7D7C962B" w14:textId="77777777" w:rsidR="00E2285C" w:rsidRDefault="00730313">
            <w:pPr>
              <w:spacing w:beforeAutospacing="1" w:afterAutospacing="1"/>
            </w:pPr>
            <w:r>
              <w:rPr>
                <w:color w:val="000000"/>
                <w:sz w:val="22"/>
              </w:rPr>
              <w:t xml:space="preserve">        50.00%</w:t>
            </w:r>
          </w:p>
        </w:tc>
        <w:tc>
          <w:tcPr>
            <w:tcW w:w="0" w:type="auto"/>
            <w:vAlign w:val="center"/>
          </w:tcPr>
          <w:p w14:paraId="2F99EDF4" w14:textId="77777777" w:rsidR="00E2285C" w:rsidRDefault="00730313">
            <w:pPr>
              <w:spacing w:beforeAutospacing="1" w:afterAutospacing="1"/>
            </w:pPr>
            <w:r>
              <w:rPr>
                <w:color w:val="000000"/>
                <w:sz w:val="22"/>
              </w:rPr>
              <w:t>3</w:t>
            </w:r>
          </w:p>
        </w:tc>
        <w:tc>
          <w:tcPr>
            <w:tcW w:w="0" w:type="auto"/>
            <w:vAlign w:val="center"/>
          </w:tcPr>
          <w:p w14:paraId="3F4A66B5" w14:textId="77777777" w:rsidR="00E2285C" w:rsidRDefault="00730313">
            <w:pPr>
              <w:spacing w:beforeAutospacing="1" w:afterAutospacing="1"/>
            </w:pPr>
            <w:r>
              <w:rPr>
                <w:color w:val="000000"/>
                <w:sz w:val="22"/>
              </w:rPr>
              <w:t>0</w:t>
            </w:r>
          </w:p>
        </w:tc>
        <w:tc>
          <w:tcPr>
            <w:tcW w:w="0" w:type="auto"/>
            <w:vAlign w:val="center"/>
          </w:tcPr>
          <w:p w14:paraId="24530905" w14:textId="77777777" w:rsidR="00E2285C" w:rsidRDefault="00730313">
            <w:pPr>
              <w:spacing w:beforeAutospacing="1" w:afterAutospacing="1"/>
            </w:pPr>
            <w:r>
              <w:rPr>
                <w:color w:val="000000"/>
                <w:sz w:val="22"/>
              </w:rPr>
              <w:t xml:space="preserve">         0.00%</w:t>
            </w:r>
          </w:p>
        </w:tc>
      </w:tr>
      <w:tr w:rsidR="00E2285C" w14:paraId="6197ED54" w14:textId="77777777">
        <w:trPr>
          <w:cantSplit/>
        </w:trPr>
        <w:tc>
          <w:tcPr>
            <w:tcW w:w="0" w:type="auto"/>
            <w:vAlign w:val="center"/>
          </w:tcPr>
          <w:p w14:paraId="79429723" w14:textId="77777777" w:rsidR="00E2285C" w:rsidRDefault="00730313">
            <w:pPr>
              <w:spacing w:beforeAutospacing="1" w:afterAutospacing="1"/>
            </w:pPr>
            <w:r>
              <w:rPr>
                <w:color w:val="000000"/>
                <w:sz w:val="22"/>
              </w:rPr>
              <w:t>Promote Neighborhood-Based Economic Development</w:t>
            </w:r>
          </w:p>
        </w:tc>
        <w:tc>
          <w:tcPr>
            <w:tcW w:w="0" w:type="auto"/>
            <w:vAlign w:val="center"/>
          </w:tcPr>
          <w:p w14:paraId="0AAD156D" w14:textId="77777777" w:rsidR="00E2285C" w:rsidRDefault="00730313">
            <w:pPr>
              <w:spacing w:beforeAutospacing="1" w:afterAutospacing="1"/>
            </w:pPr>
            <w:r>
              <w:rPr>
                <w:color w:val="000000"/>
                <w:sz w:val="22"/>
              </w:rPr>
              <w:t>Non-Housing Community Development</w:t>
            </w:r>
          </w:p>
        </w:tc>
        <w:tc>
          <w:tcPr>
            <w:tcW w:w="0" w:type="auto"/>
            <w:vAlign w:val="center"/>
          </w:tcPr>
          <w:p w14:paraId="2D1BA5E1" w14:textId="77777777" w:rsidR="00E2285C" w:rsidRDefault="00730313">
            <w:pPr>
              <w:spacing w:beforeAutospacing="1" w:afterAutospacing="1"/>
            </w:pPr>
            <w:r>
              <w:rPr>
                <w:color w:val="000000"/>
                <w:sz w:val="22"/>
              </w:rPr>
              <w:t>CDBG: $</w:t>
            </w:r>
          </w:p>
        </w:tc>
        <w:tc>
          <w:tcPr>
            <w:tcW w:w="0" w:type="auto"/>
            <w:vAlign w:val="center"/>
          </w:tcPr>
          <w:p w14:paraId="18B773D2" w14:textId="77777777" w:rsidR="00E2285C" w:rsidRDefault="00730313">
            <w:pPr>
              <w:spacing w:beforeAutospacing="1" w:afterAutospacing="1"/>
            </w:pPr>
            <w:r>
              <w:rPr>
                <w:color w:val="000000"/>
                <w:sz w:val="22"/>
              </w:rPr>
              <w:t>Jobs created/retained</w:t>
            </w:r>
          </w:p>
        </w:tc>
        <w:tc>
          <w:tcPr>
            <w:tcW w:w="0" w:type="auto"/>
            <w:vAlign w:val="center"/>
          </w:tcPr>
          <w:p w14:paraId="50E2F2EA" w14:textId="77777777" w:rsidR="00E2285C" w:rsidRDefault="00730313">
            <w:pPr>
              <w:spacing w:beforeAutospacing="1" w:afterAutospacing="1"/>
            </w:pPr>
            <w:r>
              <w:rPr>
                <w:color w:val="000000"/>
                <w:sz w:val="22"/>
              </w:rPr>
              <w:t>Jobs</w:t>
            </w:r>
          </w:p>
        </w:tc>
        <w:tc>
          <w:tcPr>
            <w:tcW w:w="0" w:type="auto"/>
            <w:vAlign w:val="center"/>
          </w:tcPr>
          <w:p w14:paraId="2D8DDA9E" w14:textId="77777777" w:rsidR="00E2285C" w:rsidRDefault="00730313">
            <w:pPr>
              <w:spacing w:beforeAutospacing="1" w:afterAutospacing="1"/>
            </w:pPr>
            <w:r>
              <w:rPr>
                <w:color w:val="000000"/>
                <w:sz w:val="22"/>
              </w:rPr>
              <w:t>250</w:t>
            </w:r>
          </w:p>
        </w:tc>
        <w:tc>
          <w:tcPr>
            <w:tcW w:w="0" w:type="auto"/>
            <w:vAlign w:val="center"/>
          </w:tcPr>
          <w:p w14:paraId="3608B08C" w14:textId="77777777" w:rsidR="00E2285C" w:rsidRDefault="00730313">
            <w:pPr>
              <w:spacing w:beforeAutospacing="1" w:afterAutospacing="1"/>
            </w:pPr>
            <w:r>
              <w:rPr>
                <w:color w:val="000000"/>
                <w:sz w:val="22"/>
              </w:rPr>
              <w:t>59</w:t>
            </w:r>
          </w:p>
        </w:tc>
        <w:tc>
          <w:tcPr>
            <w:tcW w:w="0" w:type="auto"/>
            <w:vAlign w:val="center"/>
          </w:tcPr>
          <w:p w14:paraId="0669B9D6" w14:textId="77777777" w:rsidR="00E2285C" w:rsidRDefault="00730313">
            <w:pPr>
              <w:spacing w:beforeAutospacing="1" w:afterAutospacing="1"/>
            </w:pPr>
            <w:r>
              <w:rPr>
                <w:color w:val="000000"/>
                <w:sz w:val="22"/>
              </w:rPr>
              <w:t xml:space="preserve">        23.60%</w:t>
            </w:r>
          </w:p>
        </w:tc>
        <w:tc>
          <w:tcPr>
            <w:tcW w:w="0" w:type="auto"/>
            <w:vAlign w:val="center"/>
          </w:tcPr>
          <w:p w14:paraId="210B0B74" w14:textId="77777777" w:rsidR="00E2285C" w:rsidRDefault="00730313">
            <w:pPr>
              <w:spacing w:beforeAutospacing="1" w:afterAutospacing="1"/>
            </w:pPr>
            <w:r>
              <w:rPr>
                <w:color w:val="000000"/>
                <w:sz w:val="22"/>
              </w:rPr>
              <w:t>10</w:t>
            </w:r>
          </w:p>
        </w:tc>
        <w:tc>
          <w:tcPr>
            <w:tcW w:w="0" w:type="auto"/>
            <w:vAlign w:val="center"/>
          </w:tcPr>
          <w:p w14:paraId="3FC32A45" w14:textId="77777777" w:rsidR="00E2285C" w:rsidRDefault="00730313">
            <w:pPr>
              <w:spacing w:beforeAutospacing="1" w:afterAutospacing="1"/>
            </w:pPr>
            <w:r>
              <w:rPr>
                <w:color w:val="000000"/>
                <w:sz w:val="22"/>
              </w:rPr>
              <w:t>0</w:t>
            </w:r>
          </w:p>
        </w:tc>
        <w:tc>
          <w:tcPr>
            <w:tcW w:w="0" w:type="auto"/>
            <w:vAlign w:val="center"/>
          </w:tcPr>
          <w:p w14:paraId="3D397DB2" w14:textId="77777777" w:rsidR="00E2285C" w:rsidRDefault="00730313">
            <w:pPr>
              <w:spacing w:beforeAutospacing="1" w:afterAutospacing="1"/>
            </w:pPr>
            <w:r>
              <w:rPr>
                <w:color w:val="000000"/>
                <w:sz w:val="22"/>
              </w:rPr>
              <w:t xml:space="preserve">         0.00%</w:t>
            </w:r>
          </w:p>
        </w:tc>
      </w:tr>
      <w:tr w:rsidR="00E2285C" w14:paraId="43167D0D" w14:textId="77777777">
        <w:trPr>
          <w:cantSplit/>
        </w:trPr>
        <w:tc>
          <w:tcPr>
            <w:tcW w:w="0" w:type="auto"/>
            <w:vAlign w:val="center"/>
          </w:tcPr>
          <w:p w14:paraId="1C789D4A" w14:textId="77777777" w:rsidR="00E2285C" w:rsidRDefault="00730313">
            <w:pPr>
              <w:spacing w:beforeAutospacing="1" w:afterAutospacing="1"/>
            </w:pPr>
            <w:r>
              <w:rPr>
                <w:color w:val="000000"/>
                <w:sz w:val="22"/>
              </w:rPr>
              <w:t>Promote Neighborhood-Based Economic Development</w:t>
            </w:r>
          </w:p>
        </w:tc>
        <w:tc>
          <w:tcPr>
            <w:tcW w:w="0" w:type="auto"/>
            <w:vAlign w:val="center"/>
          </w:tcPr>
          <w:p w14:paraId="5A36D754" w14:textId="77777777" w:rsidR="00E2285C" w:rsidRDefault="00730313">
            <w:pPr>
              <w:spacing w:beforeAutospacing="1" w:afterAutospacing="1"/>
            </w:pPr>
            <w:r>
              <w:rPr>
                <w:color w:val="000000"/>
                <w:sz w:val="22"/>
              </w:rPr>
              <w:t>Non-Housing Community Development</w:t>
            </w:r>
          </w:p>
        </w:tc>
        <w:tc>
          <w:tcPr>
            <w:tcW w:w="0" w:type="auto"/>
            <w:vAlign w:val="center"/>
          </w:tcPr>
          <w:p w14:paraId="04EF9B3E" w14:textId="77777777" w:rsidR="00E2285C" w:rsidRDefault="00730313">
            <w:pPr>
              <w:spacing w:beforeAutospacing="1" w:afterAutospacing="1"/>
            </w:pPr>
            <w:r>
              <w:rPr>
                <w:color w:val="000000"/>
                <w:sz w:val="22"/>
              </w:rPr>
              <w:t>CDBG: $</w:t>
            </w:r>
          </w:p>
        </w:tc>
        <w:tc>
          <w:tcPr>
            <w:tcW w:w="0" w:type="auto"/>
            <w:vAlign w:val="center"/>
          </w:tcPr>
          <w:p w14:paraId="7723584F" w14:textId="77777777" w:rsidR="00E2285C" w:rsidRDefault="00730313">
            <w:pPr>
              <w:spacing w:beforeAutospacing="1" w:afterAutospacing="1"/>
            </w:pPr>
            <w:r>
              <w:rPr>
                <w:color w:val="000000"/>
                <w:sz w:val="22"/>
              </w:rPr>
              <w:t>Businesses assisted</w:t>
            </w:r>
          </w:p>
        </w:tc>
        <w:tc>
          <w:tcPr>
            <w:tcW w:w="0" w:type="auto"/>
            <w:vAlign w:val="center"/>
          </w:tcPr>
          <w:p w14:paraId="21FFD725" w14:textId="77777777" w:rsidR="00E2285C" w:rsidRDefault="00730313">
            <w:pPr>
              <w:spacing w:beforeAutospacing="1" w:afterAutospacing="1"/>
            </w:pPr>
            <w:r>
              <w:rPr>
                <w:color w:val="000000"/>
                <w:sz w:val="22"/>
              </w:rPr>
              <w:t>Businesses Assisted</w:t>
            </w:r>
          </w:p>
        </w:tc>
        <w:tc>
          <w:tcPr>
            <w:tcW w:w="0" w:type="auto"/>
            <w:vAlign w:val="center"/>
          </w:tcPr>
          <w:p w14:paraId="6EED7770" w14:textId="77777777" w:rsidR="00E2285C" w:rsidRDefault="00730313">
            <w:pPr>
              <w:spacing w:beforeAutospacing="1" w:afterAutospacing="1"/>
            </w:pPr>
            <w:r>
              <w:rPr>
                <w:color w:val="000000"/>
                <w:sz w:val="22"/>
              </w:rPr>
              <w:t>250</w:t>
            </w:r>
          </w:p>
        </w:tc>
        <w:tc>
          <w:tcPr>
            <w:tcW w:w="0" w:type="auto"/>
            <w:vAlign w:val="center"/>
          </w:tcPr>
          <w:p w14:paraId="270BEB17" w14:textId="77777777" w:rsidR="00E2285C" w:rsidRDefault="00730313">
            <w:pPr>
              <w:spacing w:beforeAutospacing="1" w:afterAutospacing="1"/>
            </w:pPr>
            <w:r>
              <w:rPr>
                <w:color w:val="000000"/>
                <w:sz w:val="22"/>
              </w:rPr>
              <w:t>202</w:t>
            </w:r>
          </w:p>
        </w:tc>
        <w:tc>
          <w:tcPr>
            <w:tcW w:w="0" w:type="auto"/>
            <w:vAlign w:val="center"/>
          </w:tcPr>
          <w:p w14:paraId="0F469E4F" w14:textId="77777777" w:rsidR="00E2285C" w:rsidRDefault="00730313">
            <w:pPr>
              <w:spacing w:beforeAutospacing="1" w:afterAutospacing="1"/>
            </w:pPr>
            <w:r>
              <w:rPr>
                <w:color w:val="000000"/>
                <w:sz w:val="22"/>
              </w:rPr>
              <w:t xml:space="preserve">        80.80%</w:t>
            </w:r>
          </w:p>
        </w:tc>
        <w:tc>
          <w:tcPr>
            <w:tcW w:w="0" w:type="auto"/>
            <w:vAlign w:val="center"/>
          </w:tcPr>
          <w:p w14:paraId="23340515" w14:textId="77777777" w:rsidR="00E2285C" w:rsidRDefault="00730313">
            <w:pPr>
              <w:spacing w:beforeAutospacing="1" w:afterAutospacing="1"/>
            </w:pPr>
            <w:r>
              <w:rPr>
                <w:color w:val="000000"/>
                <w:sz w:val="22"/>
              </w:rPr>
              <w:t>33</w:t>
            </w:r>
          </w:p>
        </w:tc>
        <w:tc>
          <w:tcPr>
            <w:tcW w:w="0" w:type="auto"/>
            <w:vAlign w:val="center"/>
          </w:tcPr>
          <w:p w14:paraId="1DB3BBF1" w14:textId="77777777" w:rsidR="00E2285C" w:rsidRDefault="00730313">
            <w:pPr>
              <w:spacing w:beforeAutospacing="1" w:afterAutospacing="1"/>
            </w:pPr>
            <w:r>
              <w:rPr>
                <w:color w:val="000000"/>
                <w:sz w:val="22"/>
              </w:rPr>
              <w:t>0</w:t>
            </w:r>
          </w:p>
        </w:tc>
        <w:tc>
          <w:tcPr>
            <w:tcW w:w="0" w:type="auto"/>
            <w:vAlign w:val="center"/>
          </w:tcPr>
          <w:p w14:paraId="133DC0B4" w14:textId="77777777" w:rsidR="00E2285C" w:rsidRDefault="00730313">
            <w:pPr>
              <w:spacing w:beforeAutospacing="1" w:afterAutospacing="1"/>
            </w:pPr>
            <w:r>
              <w:rPr>
                <w:color w:val="000000"/>
                <w:sz w:val="22"/>
              </w:rPr>
              <w:t xml:space="preserve">         0.00%</w:t>
            </w:r>
          </w:p>
        </w:tc>
      </w:tr>
      <w:tr w:rsidR="00E2285C" w14:paraId="20B07FA8" w14:textId="77777777">
        <w:trPr>
          <w:cantSplit/>
        </w:trPr>
        <w:tc>
          <w:tcPr>
            <w:tcW w:w="0" w:type="auto"/>
            <w:vAlign w:val="center"/>
          </w:tcPr>
          <w:p w14:paraId="50C83663" w14:textId="77777777" w:rsidR="00E2285C" w:rsidRDefault="00730313">
            <w:pPr>
              <w:spacing w:beforeAutospacing="1" w:afterAutospacing="1"/>
            </w:pPr>
            <w:r>
              <w:rPr>
                <w:color w:val="000000"/>
                <w:sz w:val="22"/>
              </w:rPr>
              <w:t>Provide other non-housing necessities</w:t>
            </w:r>
          </w:p>
        </w:tc>
        <w:tc>
          <w:tcPr>
            <w:tcW w:w="0" w:type="auto"/>
            <w:vAlign w:val="center"/>
          </w:tcPr>
          <w:p w14:paraId="2BDB4590" w14:textId="77777777" w:rsidR="00E2285C" w:rsidRDefault="00730313">
            <w:pPr>
              <w:spacing w:beforeAutospacing="1" w:afterAutospacing="1"/>
            </w:pPr>
            <w:r>
              <w:rPr>
                <w:color w:val="000000"/>
                <w:sz w:val="22"/>
              </w:rPr>
              <w:t>Homeless</w:t>
            </w:r>
            <w:r>
              <w:rPr>
                <w:color w:val="000000"/>
                <w:sz w:val="22"/>
              </w:rPr>
              <w:br/>
              <w:t>Non-Homeless Special Needs</w:t>
            </w:r>
            <w:r>
              <w:rPr>
                <w:color w:val="000000"/>
                <w:sz w:val="22"/>
              </w:rPr>
              <w:br/>
              <w:t>Non-Housing Community Development</w:t>
            </w:r>
          </w:p>
        </w:tc>
        <w:tc>
          <w:tcPr>
            <w:tcW w:w="0" w:type="auto"/>
            <w:vAlign w:val="center"/>
          </w:tcPr>
          <w:p w14:paraId="160877BD" w14:textId="77777777" w:rsidR="00E2285C" w:rsidRDefault="00730313">
            <w:pPr>
              <w:spacing w:beforeAutospacing="1" w:afterAutospacing="1"/>
            </w:pPr>
            <w:r>
              <w:rPr>
                <w:color w:val="000000"/>
                <w:sz w:val="22"/>
              </w:rPr>
              <w:t>CDBG: $</w:t>
            </w:r>
          </w:p>
        </w:tc>
        <w:tc>
          <w:tcPr>
            <w:tcW w:w="0" w:type="auto"/>
            <w:vAlign w:val="center"/>
          </w:tcPr>
          <w:p w14:paraId="5DE639A4" w14:textId="77777777" w:rsidR="00E2285C" w:rsidRDefault="00730313">
            <w:pPr>
              <w:spacing w:beforeAutospacing="1" w:afterAutospacing="1"/>
            </w:pPr>
            <w:r>
              <w:rPr>
                <w:color w:val="000000"/>
                <w:sz w:val="22"/>
              </w:rPr>
              <w:t>Public service activities other than Low/Moderate Income Housing Benefit</w:t>
            </w:r>
          </w:p>
        </w:tc>
        <w:tc>
          <w:tcPr>
            <w:tcW w:w="0" w:type="auto"/>
            <w:vAlign w:val="center"/>
          </w:tcPr>
          <w:p w14:paraId="643E3A51" w14:textId="77777777" w:rsidR="00E2285C" w:rsidRDefault="00730313">
            <w:pPr>
              <w:spacing w:beforeAutospacing="1" w:afterAutospacing="1"/>
            </w:pPr>
            <w:r>
              <w:rPr>
                <w:color w:val="000000"/>
                <w:sz w:val="22"/>
              </w:rPr>
              <w:t>Persons Assisted</w:t>
            </w:r>
          </w:p>
        </w:tc>
        <w:tc>
          <w:tcPr>
            <w:tcW w:w="0" w:type="auto"/>
            <w:vAlign w:val="center"/>
          </w:tcPr>
          <w:p w14:paraId="42502B4A" w14:textId="77777777" w:rsidR="00E2285C" w:rsidRDefault="00730313">
            <w:pPr>
              <w:spacing w:beforeAutospacing="1" w:afterAutospacing="1"/>
            </w:pPr>
            <w:r>
              <w:rPr>
                <w:color w:val="000000"/>
                <w:sz w:val="22"/>
              </w:rPr>
              <w:t>11000</w:t>
            </w:r>
          </w:p>
        </w:tc>
        <w:tc>
          <w:tcPr>
            <w:tcW w:w="0" w:type="auto"/>
            <w:vAlign w:val="center"/>
          </w:tcPr>
          <w:p w14:paraId="18998503" w14:textId="77777777" w:rsidR="00E2285C" w:rsidRDefault="00730313">
            <w:pPr>
              <w:spacing w:beforeAutospacing="1" w:afterAutospacing="1"/>
            </w:pPr>
            <w:r>
              <w:rPr>
                <w:color w:val="000000"/>
                <w:sz w:val="22"/>
              </w:rPr>
              <w:t>17262</w:t>
            </w:r>
          </w:p>
        </w:tc>
        <w:tc>
          <w:tcPr>
            <w:tcW w:w="0" w:type="auto"/>
            <w:vAlign w:val="center"/>
          </w:tcPr>
          <w:p w14:paraId="5490705F" w14:textId="77777777" w:rsidR="00E2285C" w:rsidRDefault="00730313">
            <w:pPr>
              <w:spacing w:beforeAutospacing="1" w:afterAutospacing="1"/>
            </w:pPr>
            <w:r>
              <w:rPr>
                <w:color w:val="000000"/>
                <w:sz w:val="22"/>
              </w:rPr>
              <w:t xml:space="preserve">       156.93%</w:t>
            </w:r>
          </w:p>
        </w:tc>
        <w:tc>
          <w:tcPr>
            <w:tcW w:w="0" w:type="auto"/>
            <w:vAlign w:val="center"/>
          </w:tcPr>
          <w:p w14:paraId="4433D3C3" w14:textId="77777777" w:rsidR="00E2285C" w:rsidRDefault="00730313">
            <w:pPr>
              <w:spacing w:beforeAutospacing="1" w:afterAutospacing="1"/>
            </w:pPr>
            <w:r>
              <w:rPr>
                <w:color w:val="000000"/>
                <w:sz w:val="22"/>
              </w:rPr>
              <w:t>2461</w:t>
            </w:r>
          </w:p>
        </w:tc>
        <w:tc>
          <w:tcPr>
            <w:tcW w:w="0" w:type="auto"/>
            <w:vAlign w:val="center"/>
          </w:tcPr>
          <w:p w14:paraId="134FC539" w14:textId="77777777" w:rsidR="00E2285C" w:rsidRDefault="00730313">
            <w:pPr>
              <w:spacing w:beforeAutospacing="1" w:afterAutospacing="1"/>
            </w:pPr>
            <w:r>
              <w:rPr>
                <w:color w:val="000000"/>
                <w:sz w:val="22"/>
              </w:rPr>
              <w:t>2975</w:t>
            </w:r>
          </w:p>
        </w:tc>
        <w:tc>
          <w:tcPr>
            <w:tcW w:w="0" w:type="auto"/>
            <w:vAlign w:val="center"/>
          </w:tcPr>
          <w:p w14:paraId="764DC5F7" w14:textId="77777777" w:rsidR="00E2285C" w:rsidRDefault="00730313">
            <w:pPr>
              <w:spacing w:beforeAutospacing="1" w:afterAutospacing="1"/>
            </w:pPr>
            <w:r>
              <w:rPr>
                <w:color w:val="000000"/>
                <w:sz w:val="22"/>
              </w:rPr>
              <w:t xml:space="preserve">       120.89%</w:t>
            </w:r>
          </w:p>
        </w:tc>
      </w:tr>
      <w:tr w:rsidR="00E2285C" w14:paraId="0391CD37" w14:textId="77777777">
        <w:trPr>
          <w:cantSplit/>
        </w:trPr>
        <w:tc>
          <w:tcPr>
            <w:tcW w:w="0" w:type="auto"/>
            <w:vAlign w:val="center"/>
          </w:tcPr>
          <w:p w14:paraId="2E1E0B4D" w14:textId="77777777" w:rsidR="00E2285C" w:rsidRDefault="00730313">
            <w:pPr>
              <w:spacing w:beforeAutospacing="1" w:afterAutospacing="1"/>
            </w:pPr>
            <w:r>
              <w:rPr>
                <w:color w:val="000000"/>
                <w:sz w:val="22"/>
              </w:rPr>
              <w:lastRenderedPageBreak/>
              <w:t>Provide other non-housing necessities</w:t>
            </w:r>
          </w:p>
        </w:tc>
        <w:tc>
          <w:tcPr>
            <w:tcW w:w="0" w:type="auto"/>
            <w:vAlign w:val="center"/>
          </w:tcPr>
          <w:p w14:paraId="51A45673" w14:textId="77777777" w:rsidR="00E2285C" w:rsidRDefault="00730313">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28954C93" w14:textId="77777777" w:rsidR="00E2285C" w:rsidRDefault="00730313">
            <w:pPr>
              <w:spacing w:beforeAutospacing="1" w:afterAutospacing="1"/>
            </w:pPr>
            <w:r>
              <w:rPr>
                <w:color w:val="000000"/>
                <w:sz w:val="22"/>
              </w:rPr>
              <w:t>CDBG: $</w:t>
            </w:r>
          </w:p>
        </w:tc>
        <w:tc>
          <w:tcPr>
            <w:tcW w:w="0" w:type="auto"/>
            <w:vAlign w:val="center"/>
          </w:tcPr>
          <w:p w14:paraId="02A7723B" w14:textId="77777777" w:rsidR="00E2285C" w:rsidRDefault="00730313">
            <w:pPr>
              <w:spacing w:beforeAutospacing="1" w:afterAutospacing="1"/>
            </w:pPr>
            <w:r>
              <w:rPr>
                <w:color w:val="000000"/>
                <w:sz w:val="22"/>
              </w:rPr>
              <w:t>Public service activities for Low/Moderate Income Housing Benefit</w:t>
            </w:r>
          </w:p>
        </w:tc>
        <w:tc>
          <w:tcPr>
            <w:tcW w:w="0" w:type="auto"/>
            <w:vAlign w:val="center"/>
          </w:tcPr>
          <w:p w14:paraId="6CD5F834" w14:textId="77777777" w:rsidR="00E2285C" w:rsidRDefault="00730313">
            <w:pPr>
              <w:spacing w:beforeAutospacing="1" w:afterAutospacing="1"/>
            </w:pPr>
            <w:r>
              <w:rPr>
                <w:color w:val="000000"/>
                <w:sz w:val="22"/>
              </w:rPr>
              <w:t>Households Assisted</w:t>
            </w:r>
          </w:p>
        </w:tc>
        <w:tc>
          <w:tcPr>
            <w:tcW w:w="0" w:type="auto"/>
            <w:vAlign w:val="center"/>
          </w:tcPr>
          <w:p w14:paraId="679FDAA0" w14:textId="77777777" w:rsidR="00E2285C" w:rsidRDefault="00730313">
            <w:pPr>
              <w:spacing w:beforeAutospacing="1" w:afterAutospacing="1"/>
            </w:pPr>
            <w:r>
              <w:rPr>
                <w:color w:val="000000"/>
                <w:sz w:val="22"/>
              </w:rPr>
              <w:t>17</w:t>
            </w:r>
          </w:p>
        </w:tc>
        <w:tc>
          <w:tcPr>
            <w:tcW w:w="0" w:type="auto"/>
            <w:vAlign w:val="center"/>
          </w:tcPr>
          <w:p w14:paraId="7A932714" w14:textId="77777777" w:rsidR="00E2285C" w:rsidRDefault="00730313">
            <w:pPr>
              <w:spacing w:beforeAutospacing="1" w:afterAutospacing="1"/>
            </w:pPr>
            <w:r>
              <w:rPr>
                <w:color w:val="000000"/>
                <w:sz w:val="22"/>
              </w:rPr>
              <w:t>39</w:t>
            </w:r>
          </w:p>
        </w:tc>
        <w:tc>
          <w:tcPr>
            <w:tcW w:w="0" w:type="auto"/>
            <w:vAlign w:val="center"/>
          </w:tcPr>
          <w:p w14:paraId="7A4F2D3D" w14:textId="77777777" w:rsidR="00E2285C" w:rsidRDefault="00730313">
            <w:pPr>
              <w:spacing w:beforeAutospacing="1" w:afterAutospacing="1"/>
            </w:pPr>
            <w:r>
              <w:rPr>
                <w:color w:val="000000"/>
                <w:sz w:val="22"/>
              </w:rPr>
              <w:t xml:space="preserve">       229.41%</w:t>
            </w:r>
          </w:p>
        </w:tc>
        <w:tc>
          <w:tcPr>
            <w:tcW w:w="0" w:type="auto"/>
            <w:vAlign w:val="center"/>
          </w:tcPr>
          <w:p w14:paraId="4A876A7B" w14:textId="77777777" w:rsidR="00E2285C" w:rsidRDefault="00730313">
            <w:pPr>
              <w:spacing w:beforeAutospacing="1" w:afterAutospacing="1"/>
            </w:pPr>
            <w:r>
              <w:rPr>
                <w:color w:val="000000"/>
                <w:sz w:val="22"/>
              </w:rPr>
              <w:t xml:space="preserve"> </w:t>
            </w:r>
          </w:p>
        </w:tc>
        <w:tc>
          <w:tcPr>
            <w:tcW w:w="0" w:type="auto"/>
            <w:vAlign w:val="center"/>
          </w:tcPr>
          <w:p w14:paraId="480CCB1F" w14:textId="77777777" w:rsidR="00E2285C" w:rsidRDefault="00730313">
            <w:pPr>
              <w:spacing w:beforeAutospacing="1" w:afterAutospacing="1"/>
            </w:pPr>
            <w:r>
              <w:rPr>
                <w:color w:val="000000"/>
                <w:sz w:val="22"/>
              </w:rPr>
              <w:t xml:space="preserve"> </w:t>
            </w:r>
          </w:p>
        </w:tc>
        <w:tc>
          <w:tcPr>
            <w:tcW w:w="0" w:type="auto"/>
            <w:vAlign w:val="center"/>
          </w:tcPr>
          <w:p w14:paraId="2DD94751" w14:textId="77777777" w:rsidR="00E2285C" w:rsidRDefault="00730313">
            <w:pPr>
              <w:spacing w:beforeAutospacing="1" w:afterAutospacing="1"/>
            </w:pPr>
            <w:r>
              <w:rPr>
                <w:color w:val="000000"/>
                <w:sz w:val="22"/>
              </w:rPr>
              <w:t xml:space="preserve"> </w:t>
            </w:r>
          </w:p>
        </w:tc>
      </w:tr>
      <w:tr w:rsidR="00E2285C" w14:paraId="2A2099AE" w14:textId="77777777">
        <w:trPr>
          <w:cantSplit/>
        </w:trPr>
        <w:tc>
          <w:tcPr>
            <w:tcW w:w="0" w:type="auto"/>
            <w:vAlign w:val="center"/>
          </w:tcPr>
          <w:p w14:paraId="0B7A61D8" w14:textId="77777777" w:rsidR="00E2285C" w:rsidRDefault="00730313">
            <w:pPr>
              <w:spacing w:beforeAutospacing="1" w:afterAutospacing="1"/>
            </w:pPr>
            <w:r>
              <w:rPr>
                <w:color w:val="000000"/>
                <w:sz w:val="22"/>
              </w:rPr>
              <w:t>Provide other non-housing necessities</w:t>
            </w:r>
          </w:p>
        </w:tc>
        <w:tc>
          <w:tcPr>
            <w:tcW w:w="0" w:type="auto"/>
            <w:vAlign w:val="center"/>
          </w:tcPr>
          <w:p w14:paraId="71084B0C" w14:textId="77777777" w:rsidR="00E2285C" w:rsidRDefault="00730313">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6633F24F" w14:textId="77777777" w:rsidR="00E2285C" w:rsidRDefault="00730313">
            <w:pPr>
              <w:spacing w:beforeAutospacing="1" w:afterAutospacing="1"/>
            </w:pPr>
            <w:r>
              <w:rPr>
                <w:color w:val="000000"/>
                <w:sz w:val="22"/>
              </w:rPr>
              <w:t>CDBG: $</w:t>
            </w:r>
          </w:p>
        </w:tc>
        <w:tc>
          <w:tcPr>
            <w:tcW w:w="0" w:type="auto"/>
            <w:vAlign w:val="center"/>
          </w:tcPr>
          <w:p w14:paraId="71E3B0B7" w14:textId="77777777" w:rsidR="00E2285C" w:rsidRDefault="00730313">
            <w:pPr>
              <w:spacing w:beforeAutospacing="1" w:afterAutospacing="1"/>
            </w:pPr>
            <w:r>
              <w:rPr>
                <w:color w:val="000000"/>
                <w:sz w:val="22"/>
              </w:rPr>
              <w:t>Tenant-based rental assistance / Rapid Rehousing</w:t>
            </w:r>
          </w:p>
        </w:tc>
        <w:tc>
          <w:tcPr>
            <w:tcW w:w="0" w:type="auto"/>
            <w:vAlign w:val="center"/>
          </w:tcPr>
          <w:p w14:paraId="46FF4B86" w14:textId="77777777" w:rsidR="00E2285C" w:rsidRDefault="00730313">
            <w:pPr>
              <w:spacing w:beforeAutospacing="1" w:afterAutospacing="1"/>
            </w:pPr>
            <w:r>
              <w:rPr>
                <w:color w:val="000000"/>
                <w:sz w:val="22"/>
              </w:rPr>
              <w:t>Households Assisted</w:t>
            </w:r>
          </w:p>
        </w:tc>
        <w:tc>
          <w:tcPr>
            <w:tcW w:w="0" w:type="auto"/>
            <w:vAlign w:val="center"/>
          </w:tcPr>
          <w:p w14:paraId="4B013503" w14:textId="77777777" w:rsidR="00E2285C" w:rsidRDefault="00730313">
            <w:pPr>
              <w:spacing w:beforeAutospacing="1" w:afterAutospacing="1"/>
            </w:pPr>
            <w:r>
              <w:rPr>
                <w:color w:val="000000"/>
                <w:sz w:val="22"/>
              </w:rPr>
              <w:t>0</w:t>
            </w:r>
          </w:p>
        </w:tc>
        <w:tc>
          <w:tcPr>
            <w:tcW w:w="0" w:type="auto"/>
            <w:vAlign w:val="center"/>
          </w:tcPr>
          <w:p w14:paraId="085B8C0F" w14:textId="77777777" w:rsidR="00E2285C" w:rsidRDefault="00730313">
            <w:pPr>
              <w:spacing w:beforeAutospacing="1" w:afterAutospacing="1"/>
            </w:pPr>
            <w:r>
              <w:rPr>
                <w:color w:val="000000"/>
                <w:sz w:val="22"/>
              </w:rPr>
              <w:t>1</w:t>
            </w:r>
          </w:p>
        </w:tc>
        <w:tc>
          <w:tcPr>
            <w:tcW w:w="0" w:type="auto"/>
            <w:vAlign w:val="center"/>
          </w:tcPr>
          <w:p w14:paraId="3B18D85E" w14:textId="77777777" w:rsidR="00E2285C" w:rsidRDefault="00730313">
            <w:pPr>
              <w:spacing w:beforeAutospacing="1" w:afterAutospacing="1"/>
            </w:pPr>
            <w:r>
              <w:rPr>
                <w:color w:val="000000"/>
                <w:sz w:val="22"/>
              </w:rPr>
              <w:t xml:space="preserve"> </w:t>
            </w:r>
          </w:p>
        </w:tc>
        <w:tc>
          <w:tcPr>
            <w:tcW w:w="0" w:type="auto"/>
            <w:vAlign w:val="center"/>
          </w:tcPr>
          <w:p w14:paraId="43315B79" w14:textId="77777777" w:rsidR="00E2285C" w:rsidRDefault="00730313">
            <w:pPr>
              <w:spacing w:beforeAutospacing="1" w:afterAutospacing="1"/>
            </w:pPr>
            <w:r>
              <w:rPr>
                <w:color w:val="000000"/>
                <w:sz w:val="22"/>
              </w:rPr>
              <w:t>12</w:t>
            </w:r>
          </w:p>
        </w:tc>
        <w:tc>
          <w:tcPr>
            <w:tcW w:w="0" w:type="auto"/>
            <w:vAlign w:val="center"/>
          </w:tcPr>
          <w:p w14:paraId="578F1C2E" w14:textId="77777777" w:rsidR="00E2285C" w:rsidRDefault="00730313">
            <w:pPr>
              <w:spacing w:beforeAutospacing="1" w:afterAutospacing="1"/>
            </w:pPr>
            <w:r>
              <w:rPr>
                <w:color w:val="000000"/>
                <w:sz w:val="22"/>
              </w:rPr>
              <w:t>22</w:t>
            </w:r>
          </w:p>
        </w:tc>
        <w:tc>
          <w:tcPr>
            <w:tcW w:w="0" w:type="auto"/>
            <w:vAlign w:val="center"/>
          </w:tcPr>
          <w:p w14:paraId="2838E7C8" w14:textId="77777777" w:rsidR="00E2285C" w:rsidRDefault="00730313">
            <w:pPr>
              <w:spacing w:beforeAutospacing="1" w:afterAutospacing="1"/>
            </w:pPr>
            <w:r>
              <w:rPr>
                <w:color w:val="000000"/>
                <w:sz w:val="22"/>
              </w:rPr>
              <w:t xml:space="preserve">       183.33%</w:t>
            </w:r>
          </w:p>
        </w:tc>
      </w:tr>
      <w:tr w:rsidR="00E2285C" w14:paraId="08AFFD35" w14:textId="77777777">
        <w:trPr>
          <w:cantSplit/>
        </w:trPr>
        <w:tc>
          <w:tcPr>
            <w:tcW w:w="0" w:type="auto"/>
            <w:vAlign w:val="center"/>
          </w:tcPr>
          <w:p w14:paraId="3FB480A0" w14:textId="77777777" w:rsidR="00E2285C" w:rsidRDefault="00730313">
            <w:pPr>
              <w:spacing w:beforeAutospacing="1" w:afterAutospacing="1"/>
            </w:pPr>
            <w:r>
              <w:rPr>
                <w:color w:val="000000"/>
                <w:sz w:val="22"/>
              </w:rPr>
              <w:t>Provide other non-housing necessities</w:t>
            </w:r>
          </w:p>
        </w:tc>
        <w:tc>
          <w:tcPr>
            <w:tcW w:w="0" w:type="auto"/>
            <w:vAlign w:val="center"/>
          </w:tcPr>
          <w:p w14:paraId="0AB760DB" w14:textId="77777777" w:rsidR="00E2285C" w:rsidRDefault="00730313">
            <w:pPr>
              <w:spacing w:beforeAutospacing="1" w:afterAutospacing="1"/>
            </w:pPr>
            <w:r>
              <w:rPr>
                <w:color w:val="000000"/>
                <w:sz w:val="22"/>
              </w:rP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380B6629" w14:textId="77777777" w:rsidR="00E2285C" w:rsidRDefault="00730313">
            <w:pPr>
              <w:spacing w:beforeAutospacing="1" w:afterAutospacing="1"/>
            </w:pPr>
            <w:r>
              <w:rPr>
                <w:color w:val="000000"/>
                <w:sz w:val="22"/>
              </w:rPr>
              <w:t>CDBG: $</w:t>
            </w:r>
          </w:p>
        </w:tc>
        <w:tc>
          <w:tcPr>
            <w:tcW w:w="0" w:type="auto"/>
            <w:vAlign w:val="center"/>
          </w:tcPr>
          <w:p w14:paraId="285AFA01" w14:textId="77777777" w:rsidR="00E2285C" w:rsidRDefault="00730313">
            <w:pPr>
              <w:spacing w:beforeAutospacing="1" w:afterAutospacing="1"/>
            </w:pPr>
            <w:r>
              <w:rPr>
                <w:color w:val="000000"/>
                <w:sz w:val="22"/>
              </w:rPr>
              <w:t>Homeless Person Overnight Shelter</w:t>
            </w:r>
          </w:p>
        </w:tc>
        <w:tc>
          <w:tcPr>
            <w:tcW w:w="0" w:type="auto"/>
            <w:vAlign w:val="center"/>
          </w:tcPr>
          <w:p w14:paraId="4535BA4D" w14:textId="77777777" w:rsidR="00E2285C" w:rsidRDefault="00730313">
            <w:pPr>
              <w:spacing w:beforeAutospacing="1" w:afterAutospacing="1"/>
            </w:pPr>
            <w:r>
              <w:rPr>
                <w:color w:val="000000"/>
                <w:sz w:val="22"/>
              </w:rPr>
              <w:t>Persons Assisted</w:t>
            </w:r>
          </w:p>
        </w:tc>
        <w:tc>
          <w:tcPr>
            <w:tcW w:w="0" w:type="auto"/>
            <w:vAlign w:val="center"/>
          </w:tcPr>
          <w:p w14:paraId="3938EFD1" w14:textId="77777777" w:rsidR="00E2285C" w:rsidRDefault="00730313">
            <w:pPr>
              <w:spacing w:beforeAutospacing="1" w:afterAutospacing="1"/>
            </w:pPr>
            <w:r>
              <w:rPr>
                <w:color w:val="000000"/>
                <w:sz w:val="22"/>
              </w:rPr>
              <w:t>4</w:t>
            </w:r>
          </w:p>
        </w:tc>
        <w:tc>
          <w:tcPr>
            <w:tcW w:w="0" w:type="auto"/>
            <w:vAlign w:val="center"/>
          </w:tcPr>
          <w:p w14:paraId="58550894" w14:textId="77777777" w:rsidR="00E2285C" w:rsidRDefault="00730313">
            <w:pPr>
              <w:spacing w:beforeAutospacing="1" w:afterAutospacing="1"/>
            </w:pPr>
            <w:r>
              <w:rPr>
                <w:color w:val="000000"/>
                <w:sz w:val="22"/>
              </w:rPr>
              <w:t>1</w:t>
            </w:r>
          </w:p>
        </w:tc>
        <w:tc>
          <w:tcPr>
            <w:tcW w:w="0" w:type="auto"/>
            <w:vAlign w:val="center"/>
          </w:tcPr>
          <w:p w14:paraId="513705EF" w14:textId="77777777" w:rsidR="00E2285C" w:rsidRDefault="00730313">
            <w:pPr>
              <w:spacing w:beforeAutospacing="1" w:afterAutospacing="1"/>
            </w:pPr>
            <w:r>
              <w:rPr>
                <w:color w:val="000000"/>
                <w:sz w:val="22"/>
              </w:rPr>
              <w:t xml:space="preserve">        25.00%</w:t>
            </w:r>
          </w:p>
        </w:tc>
        <w:tc>
          <w:tcPr>
            <w:tcW w:w="0" w:type="auto"/>
            <w:vAlign w:val="center"/>
          </w:tcPr>
          <w:p w14:paraId="46EB7871" w14:textId="77777777" w:rsidR="00E2285C" w:rsidRDefault="00730313">
            <w:pPr>
              <w:spacing w:beforeAutospacing="1" w:afterAutospacing="1"/>
            </w:pPr>
            <w:r>
              <w:rPr>
                <w:color w:val="000000"/>
                <w:sz w:val="22"/>
              </w:rPr>
              <w:t xml:space="preserve"> </w:t>
            </w:r>
          </w:p>
        </w:tc>
        <w:tc>
          <w:tcPr>
            <w:tcW w:w="0" w:type="auto"/>
            <w:vAlign w:val="center"/>
          </w:tcPr>
          <w:p w14:paraId="52785FFD" w14:textId="77777777" w:rsidR="00E2285C" w:rsidRDefault="00730313">
            <w:pPr>
              <w:spacing w:beforeAutospacing="1" w:afterAutospacing="1"/>
            </w:pPr>
            <w:r>
              <w:rPr>
                <w:color w:val="000000"/>
                <w:sz w:val="22"/>
              </w:rPr>
              <w:t xml:space="preserve"> </w:t>
            </w:r>
          </w:p>
        </w:tc>
        <w:tc>
          <w:tcPr>
            <w:tcW w:w="0" w:type="auto"/>
            <w:vAlign w:val="center"/>
          </w:tcPr>
          <w:p w14:paraId="6F075E0D" w14:textId="77777777" w:rsidR="00E2285C" w:rsidRDefault="00730313">
            <w:pPr>
              <w:spacing w:beforeAutospacing="1" w:afterAutospacing="1"/>
            </w:pPr>
            <w:r>
              <w:rPr>
                <w:color w:val="000000"/>
                <w:sz w:val="22"/>
              </w:rPr>
              <w:t xml:space="preserve"> </w:t>
            </w:r>
          </w:p>
        </w:tc>
      </w:tr>
      <w:tr w:rsidR="00E2285C" w14:paraId="63C865E0" w14:textId="77777777">
        <w:trPr>
          <w:cantSplit/>
        </w:trPr>
        <w:tc>
          <w:tcPr>
            <w:tcW w:w="0" w:type="auto"/>
            <w:vAlign w:val="center"/>
          </w:tcPr>
          <w:p w14:paraId="62917DB1" w14:textId="77777777" w:rsidR="00E2285C" w:rsidRDefault="00730313">
            <w:pPr>
              <w:spacing w:beforeAutospacing="1" w:afterAutospacing="1"/>
            </w:pPr>
            <w:r>
              <w:rPr>
                <w:color w:val="000000"/>
                <w:sz w:val="22"/>
              </w:rPr>
              <w:t>Provide other non-housing necessities</w:t>
            </w:r>
          </w:p>
        </w:tc>
        <w:tc>
          <w:tcPr>
            <w:tcW w:w="0" w:type="auto"/>
            <w:vAlign w:val="center"/>
          </w:tcPr>
          <w:p w14:paraId="028FEC49" w14:textId="77777777" w:rsidR="00E2285C" w:rsidRDefault="00730313">
            <w:pPr>
              <w:spacing w:beforeAutospacing="1" w:afterAutospacing="1"/>
            </w:pPr>
            <w:r>
              <w:rPr>
                <w:color w:val="000000"/>
                <w:sz w:val="22"/>
              </w:rPr>
              <w:t>Homeless</w:t>
            </w:r>
            <w:r>
              <w:rPr>
                <w:color w:val="000000"/>
                <w:sz w:val="22"/>
              </w:rPr>
              <w:br/>
              <w:t>Non-Homeless Special Needs</w:t>
            </w:r>
            <w:r>
              <w:rPr>
                <w:color w:val="000000"/>
                <w:sz w:val="22"/>
              </w:rPr>
              <w:br/>
              <w:t>Non-Housing Community Development</w:t>
            </w:r>
          </w:p>
        </w:tc>
        <w:tc>
          <w:tcPr>
            <w:tcW w:w="0" w:type="auto"/>
            <w:vAlign w:val="center"/>
          </w:tcPr>
          <w:p w14:paraId="66685F18" w14:textId="77777777" w:rsidR="00E2285C" w:rsidRDefault="00730313">
            <w:pPr>
              <w:spacing w:beforeAutospacing="1" w:afterAutospacing="1"/>
            </w:pPr>
            <w:r>
              <w:rPr>
                <w:color w:val="000000"/>
                <w:sz w:val="22"/>
              </w:rPr>
              <w:t>CDBG: $</w:t>
            </w:r>
          </w:p>
        </w:tc>
        <w:tc>
          <w:tcPr>
            <w:tcW w:w="0" w:type="auto"/>
            <w:vAlign w:val="center"/>
          </w:tcPr>
          <w:p w14:paraId="4D150CDD" w14:textId="77777777" w:rsidR="00E2285C" w:rsidRDefault="00730313">
            <w:pPr>
              <w:spacing w:beforeAutospacing="1" w:afterAutospacing="1"/>
            </w:pPr>
            <w:r>
              <w:rPr>
                <w:color w:val="000000"/>
                <w:sz w:val="22"/>
              </w:rPr>
              <w:t>Homelessness Prevention</w:t>
            </w:r>
          </w:p>
        </w:tc>
        <w:tc>
          <w:tcPr>
            <w:tcW w:w="0" w:type="auto"/>
            <w:vAlign w:val="center"/>
          </w:tcPr>
          <w:p w14:paraId="3B9B4F67" w14:textId="77777777" w:rsidR="00E2285C" w:rsidRDefault="00730313">
            <w:pPr>
              <w:spacing w:beforeAutospacing="1" w:afterAutospacing="1"/>
            </w:pPr>
            <w:r>
              <w:rPr>
                <w:color w:val="000000"/>
                <w:sz w:val="22"/>
              </w:rPr>
              <w:t>Persons Assisted</w:t>
            </w:r>
          </w:p>
        </w:tc>
        <w:tc>
          <w:tcPr>
            <w:tcW w:w="0" w:type="auto"/>
            <w:vAlign w:val="center"/>
          </w:tcPr>
          <w:p w14:paraId="50420972" w14:textId="77777777" w:rsidR="00E2285C" w:rsidRDefault="00730313">
            <w:pPr>
              <w:spacing w:beforeAutospacing="1" w:afterAutospacing="1"/>
            </w:pPr>
            <w:r>
              <w:rPr>
                <w:color w:val="000000"/>
                <w:sz w:val="22"/>
              </w:rPr>
              <w:t>12</w:t>
            </w:r>
          </w:p>
        </w:tc>
        <w:tc>
          <w:tcPr>
            <w:tcW w:w="0" w:type="auto"/>
            <w:vAlign w:val="center"/>
          </w:tcPr>
          <w:p w14:paraId="10712AE4" w14:textId="77777777" w:rsidR="00E2285C" w:rsidRDefault="00730313">
            <w:pPr>
              <w:spacing w:beforeAutospacing="1" w:afterAutospacing="1"/>
            </w:pPr>
            <w:r>
              <w:rPr>
                <w:color w:val="000000"/>
                <w:sz w:val="22"/>
              </w:rPr>
              <w:t>70</w:t>
            </w:r>
          </w:p>
        </w:tc>
        <w:tc>
          <w:tcPr>
            <w:tcW w:w="0" w:type="auto"/>
            <w:vAlign w:val="center"/>
          </w:tcPr>
          <w:p w14:paraId="60872373" w14:textId="77777777" w:rsidR="00E2285C" w:rsidRDefault="00730313">
            <w:pPr>
              <w:spacing w:beforeAutospacing="1" w:afterAutospacing="1"/>
            </w:pPr>
            <w:r>
              <w:rPr>
                <w:color w:val="000000"/>
                <w:sz w:val="22"/>
              </w:rPr>
              <w:t xml:space="preserve">       583.33%</w:t>
            </w:r>
          </w:p>
        </w:tc>
        <w:tc>
          <w:tcPr>
            <w:tcW w:w="0" w:type="auto"/>
            <w:vAlign w:val="center"/>
          </w:tcPr>
          <w:p w14:paraId="3B67DC94" w14:textId="77777777" w:rsidR="00E2285C" w:rsidRDefault="00730313">
            <w:pPr>
              <w:spacing w:beforeAutospacing="1" w:afterAutospacing="1"/>
            </w:pPr>
            <w:r>
              <w:rPr>
                <w:color w:val="000000"/>
                <w:sz w:val="22"/>
              </w:rPr>
              <w:t xml:space="preserve"> </w:t>
            </w:r>
          </w:p>
        </w:tc>
        <w:tc>
          <w:tcPr>
            <w:tcW w:w="0" w:type="auto"/>
            <w:vAlign w:val="center"/>
          </w:tcPr>
          <w:p w14:paraId="1A85DF87" w14:textId="77777777" w:rsidR="00E2285C" w:rsidRDefault="00730313">
            <w:pPr>
              <w:spacing w:beforeAutospacing="1" w:afterAutospacing="1"/>
            </w:pPr>
            <w:r>
              <w:rPr>
                <w:color w:val="000000"/>
                <w:sz w:val="22"/>
              </w:rPr>
              <w:t xml:space="preserve"> </w:t>
            </w:r>
          </w:p>
        </w:tc>
        <w:tc>
          <w:tcPr>
            <w:tcW w:w="0" w:type="auto"/>
            <w:vAlign w:val="center"/>
          </w:tcPr>
          <w:p w14:paraId="1CDCF5A4" w14:textId="77777777" w:rsidR="00E2285C" w:rsidRDefault="00730313">
            <w:pPr>
              <w:spacing w:beforeAutospacing="1" w:afterAutospacing="1"/>
            </w:pPr>
            <w:r>
              <w:rPr>
                <w:color w:val="000000"/>
                <w:sz w:val="22"/>
              </w:rPr>
              <w:t xml:space="preserve"> </w:t>
            </w:r>
          </w:p>
        </w:tc>
      </w:tr>
      <w:tr w:rsidR="00E2285C" w14:paraId="5E9A7F3B" w14:textId="77777777">
        <w:trPr>
          <w:cantSplit/>
        </w:trPr>
        <w:tc>
          <w:tcPr>
            <w:tcW w:w="0" w:type="auto"/>
            <w:vAlign w:val="center"/>
          </w:tcPr>
          <w:p w14:paraId="19F91F4A" w14:textId="77777777" w:rsidR="00E2285C" w:rsidRDefault="00730313">
            <w:pPr>
              <w:spacing w:beforeAutospacing="1" w:afterAutospacing="1"/>
            </w:pPr>
            <w:r>
              <w:rPr>
                <w:color w:val="000000"/>
                <w:sz w:val="22"/>
              </w:rPr>
              <w:lastRenderedPageBreak/>
              <w:t>Provide Shelter and Services for Homeless</w:t>
            </w:r>
          </w:p>
        </w:tc>
        <w:tc>
          <w:tcPr>
            <w:tcW w:w="0" w:type="auto"/>
            <w:vAlign w:val="center"/>
          </w:tcPr>
          <w:p w14:paraId="0532165B" w14:textId="77777777" w:rsidR="00E2285C" w:rsidRDefault="00730313">
            <w:pPr>
              <w:spacing w:beforeAutospacing="1" w:afterAutospacing="1"/>
            </w:pPr>
            <w:r>
              <w:rPr>
                <w:color w:val="000000"/>
                <w:sz w:val="22"/>
              </w:rPr>
              <w:t>Homeless</w:t>
            </w:r>
          </w:p>
        </w:tc>
        <w:tc>
          <w:tcPr>
            <w:tcW w:w="0" w:type="auto"/>
            <w:vAlign w:val="center"/>
          </w:tcPr>
          <w:p w14:paraId="6D904492" w14:textId="77777777" w:rsidR="00E2285C" w:rsidRDefault="00730313">
            <w:pPr>
              <w:spacing w:beforeAutospacing="1" w:afterAutospacing="1"/>
            </w:pPr>
            <w:r>
              <w:rPr>
                <w:color w:val="000000"/>
                <w:sz w:val="22"/>
              </w:rPr>
              <w:t>CDBG: $</w:t>
            </w:r>
          </w:p>
        </w:tc>
        <w:tc>
          <w:tcPr>
            <w:tcW w:w="0" w:type="auto"/>
            <w:vAlign w:val="center"/>
          </w:tcPr>
          <w:p w14:paraId="52A398FD" w14:textId="77777777" w:rsidR="00E2285C" w:rsidRDefault="00730313">
            <w:pPr>
              <w:spacing w:beforeAutospacing="1" w:afterAutospacing="1"/>
            </w:pPr>
            <w:r>
              <w:rPr>
                <w:color w:val="000000"/>
                <w:sz w:val="22"/>
              </w:rPr>
              <w:t>Public service activities other than Low/Moderate Income Housing Benefit</w:t>
            </w:r>
          </w:p>
        </w:tc>
        <w:tc>
          <w:tcPr>
            <w:tcW w:w="0" w:type="auto"/>
            <w:vAlign w:val="center"/>
          </w:tcPr>
          <w:p w14:paraId="6930F6CD" w14:textId="77777777" w:rsidR="00E2285C" w:rsidRDefault="00730313">
            <w:pPr>
              <w:spacing w:beforeAutospacing="1" w:afterAutospacing="1"/>
            </w:pPr>
            <w:r>
              <w:rPr>
                <w:color w:val="000000"/>
                <w:sz w:val="22"/>
              </w:rPr>
              <w:t>Persons Assisted</w:t>
            </w:r>
          </w:p>
        </w:tc>
        <w:tc>
          <w:tcPr>
            <w:tcW w:w="0" w:type="auto"/>
            <w:vAlign w:val="center"/>
          </w:tcPr>
          <w:p w14:paraId="16790EF6" w14:textId="77777777" w:rsidR="00E2285C" w:rsidRDefault="00730313">
            <w:pPr>
              <w:spacing w:beforeAutospacing="1" w:afterAutospacing="1"/>
            </w:pPr>
            <w:r>
              <w:rPr>
                <w:color w:val="000000"/>
                <w:sz w:val="22"/>
              </w:rPr>
              <w:t>503</w:t>
            </w:r>
          </w:p>
        </w:tc>
        <w:tc>
          <w:tcPr>
            <w:tcW w:w="0" w:type="auto"/>
            <w:vAlign w:val="center"/>
          </w:tcPr>
          <w:p w14:paraId="3D3FA9D7" w14:textId="77777777" w:rsidR="00E2285C" w:rsidRDefault="00730313">
            <w:pPr>
              <w:spacing w:beforeAutospacing="1" w:afterAutospacing="1"/>
            </w:pPr>
            <w:r>
              <w:rPr>
                <w:color w:val="000000"/>
                <w:sz w:val="22"/>
              </w:rPr>
              <w:t>559</w:t>
            </w:r>
          </w:p>
        </w:tc>
        <w:tc>
          <w:tcPr>
            <w:tcW w:w="0" w:type="auto"/>
            <w:vAlign w:val="center"/>
          </w:tcPr>
          <w:p w14:paraId="4E6378F8" w14:textId="77777777" w:rsidR="00E2285C" w:rsidRDefault="00730313">
            <w:pPr>
              <w:spacing w:beforeAutospacing="1" w:afterAutospacing="1"/>
            </w:pPr>
            <w:r>
              <w:rPr>
                <w:color w:val="000000"/>
                <w:sz w:val="22"/>
              </w:rPr>
              <w:t xml:space="preserve">       111.13%</w:t>
            </w:r>
          </w:p>
        </w:tc>
        <w:tc>
          <w:tcPr>
            <w:tcW w:w="0" w:type="auto"/>
            <w:vAlign w:val="center"/>
          </w:tcPr>
          <w:p w14:paraId="59249018" w14:textId="77777777" w:rsidR="00E2285C" w:rsidRDefault="00730313">
            <w:pPr>
              <w:spacing w:beforeAutospacing="1" w:afterAutospacing="1"/>
            </w:pPr>
            <w:r>
              <w:rPr>
                <w:color w:val="000000"/>
                <w:sz w:val="22"/>
              </w:rPr>
              <w:t>340</w:t>
            </w:r>
          </w:p>
        </w:tc>
        <w:tc>
          <w:tcPr>
            <w:tcW w:w="0" w:type="auto"/>
            <w:vAlign w:val="center"/>
          </w:tcPr>
          <w:p w14:paraId="6AB8C5ED" w14:textId="77777777" w:rsidR="00E2285C" w:rsidRDefault="00730313">
            <w:pPr>
              <w:spacing w:beforeAutospacing="1" w:afterAutospacing="1"/>
            </w:pPr>
            <w:r>
              <w:rPr>
                <w:color w:val="000000"/>
                <w:sz w:val="22"/>
              </w:rPr>
              <w:t>441</w:t>
            </w:r>
          </w:p>
        </w:tc>
        <w:tc>
          <w:tcPr>
            <w:tcW w:w="0" w:type="auto"/>
            <w:vAlign w:val="center"/>
          </w:tcPr>
          <w:p w14:paraId="4D8E13CD" w14:textId="77777777" w:rsidR="00E2285C" w:rsidRDefault="00730313">
            <w:pPr>
              <w:spacing w:beforeAutospacing="1" w:afterAutospacing="1"/>
            </w:pPr>
            <w:r>
              <w:rPr>
                <w:color w:val="000000"/>
                <w:sz w:val="22"/>
              </w:rPr>
              <w:t xml:space="preserve">       129.71%</w:t>
            </w:r>
          </w:p>
        </w:tc>
      </w:tr>
      <w:tr w:rsidR="00E2285C" w14:paraId="1A830FAE" w14:textId="77777777">
        <w:trPr>
          <w:cantSplit/>
        </w:trPr>
        <w:tc>
          <w:tcPr>
            <w:tcW w:w="0" w:type="auto"/>
            <w:vAlign w:val="center"/>
          </w:tcPr>
          <w:p w14:paraId="680FD984" w14:textId="77777777" w:rsidR="00E2285C" w:rsidRDefault="00730313">
            <w:pPr>
              <w:spacing w:beforeAutospacing="1" w:afterAutospacing="1"/>
            </w:pPr>
            <w:r>
              <w:rPr>
                <w:color w:val="000000"/>
                <w:sz w:val="22"/>
              </w:rPr>
              <w:t>Provide Shelter and Services for Homeless</w:t>
            </w:r>
          </w:p>
        </w:tc>
        <w:tc>
          <w:tcPr>
            <w:tcW w:w="0" w:type="auto"/>
            <w:vAlign w:val="center"/>
          </w:tcPr>
          <w:p w14:paraId="43188A0D" w14:textId="77777777" w:rsidR="00E2285C" w:rsidRDefault="00730313">
            <w:pPr>
              <w:spacing w:beforeAutospacing="1" w:afterAutospacing="1"/>
            </w:pPr>
            <w:r>
              <w:rPr>
                <w:color w:val="000000"/>
                <w:sz w:val="22"/>
              </w:rPr>
              <w:t>Homeless</w:t>
            </w:r>
          </w:p>
        </w:tc>
        <w:tc>
          <w:tcPr>
            <w:tcW w:w="0" w:type="auto"/>
            <w:vAlign w:val="center"/>
          </w:tcPr>
          <w:p w14:paraId="1F74DA2F" w14:textId="77777777" w:rsidR="00E2285C" w:rsidRDefault="00730313">
            <w:pPr>
              <w:spacing w:beforeAutospacing="1" w:afterAutospacing="1"/>
            </w:pPr>
            <w:r>
              <w:rPr>
                <w:color w:val="000000"/>
                <w:sz w:val="22"/>
              </w:rPr>
              <w:t>CDBG: $</w:t>
            </w:r>
          </w:p>
        </w:tc>
        <w:tc>
          <w:tcPr>
            <w:tcW w:w="0" w:type="auto"/>
            <w:vAlign w:val="center"/>
          </w:tcPr>
          <w:p w14:paraId="60E2FF29" w14:textId="77777777" w:rsidR="00E2285C" w:rsidRDefault="00730313">
            <w:pPr>
              <w:spacing w:beforeAutospacing="1" w:afterAutospacing="1"/>
            </w:pPr>
            <w:r>
              <w:rPr>
                <w:color w:val="000000"/>
                <w:sz w:val="22"/>
              </w:rPr>
              <w:t>Tenant-based rental assistance / Rapid Rehousing</w:t>
            </w:r>
          </w:p>
        </w:tc>
        <w:tc>
          <w:tcPr>
            <w:tcW w:w="0" w:type="auto"/>
            <w:vAlign w:val="center"/>
          </w:tcPr>
          <w:p w14:paraId="7F63A9AC" w14:textId="77777777" w:rsidR="00E2285C" w:rsidRDefault="00730313">
            <w:pPr>
              <w:spacing w:beforeAutospacing="1" w:afterAutospacing="1"/>
            </w:pPr>
            <w:r>
              <w:rPr>
                <w:color w:val="000000"/>
                <w:sz w:val="22"/>
              </w:rPr>
              <w:t>Households Assisted</w:t>
            </w:r>
          </w:p>
        </w:tc>
        <w:tc>
          <w:tcPr>
            <w:tcW w:w="0" w:type="auto"/>
            <w:vAlign w:val="center"/>
          </w:tcPr>
          <w:p w14:paraId="2D712D43" w14:textId="77777777" w:rsidR="00E2285C" w:rsidRDefault="00730313">
            <w:pPr>
              <w:spacing w:beforeAutospacing="1" w:afterAutospacing="1"/>
            </w:pPr>
            <w:r>
              <w:rPr>
                <w:color w:val="000000"/>
                <w:sz w:val="22"/>
              </w:rPr>
              <w:t>6</w:t>
            </w:r>
          </w:p>
        </w:tc>
        <w:tc>
          <w:tcPr>
            <w:tcW w:w="0" w:type="auto"/>
            <w:vAlign w:val="center"/>
          </w:tcPr>
          <w:p w14:paraId="69E22DE4" w14:textId="77777777" w:rsidR="00E2285C" w:rsidRDefault="00730313">
            <w:pPr>
              <w:spacing w:beforeAutospacing="1" w:afterAutospacing="1"/>
            </w:pPr>
            <w:r>
              <w:rPr>
                <w:color w:val="000000"/>
                <w:sz w:val="22"/>
              </w:rPr>
              <w:t>4</w:t>
            </w:r>
          </w:p>
        </w:tc>
        <w:tc>
          <w:tcPr>
            <w:tcW w:w="0" w:type="auto"/>
            <w:vAlign w:val="center"/>
          </w:tcPr>
          <w:p w14:paraId="250779C4" w14:textId="77777777" w:rsidR="00E2285C" w:rsidRDefault="00730313">
            <w:pPr>
              <w:spacing w:beforeAutospacing="1" w:afterAutospacing="1"/>
            </w:pPr>
            <w:r>
              <w:rPr>
                <w:color w:val="000000"/>
                <w:sz w:val="22"/>
              </w:rPr>
              <w:t xml:space="preserve">        66.67%</w:t>
            </w:r>
          </w:p>
        </w:tc>
        <w:tc>
          <w:tcPr>
            <w:tcW w:w="0" w:type="auto"/>
            <w:vAlign w:val="center"/>
          </w:tcPr>
          <w:p w14:paraId="2AD72A4C" w14:textId="77777777" w:rsidR="00E2285C" w:rsidRDefault="00730313">
            <w:pPr>
              <w:spacing w:beforeAutospacing="1" w:afterAutospacing="1"/>
            </w:pPr>
            <w:r>
              <w:rPr>
                <w:color w:val="000000"/>
                <w:sz w:val="22"/>
              </w:rPr>
              <w:t xml:space="preserve"> </w:t>
            </w:r>
          </w:p>
        </w:tc>
        <w:tc>
          <w:tcPr>
            <w:tcW w:w="0" w:type="auto"/>
            <w:vAlign w:val="center"/>
          </w:tcPr>
          <w:p w14:paraId="1B7E7423" w14:textId="77777777" w:rsidR="00E2285C" w:rsidRDefault="00730313">
            <w:pPr>
              <w:spacing w:beforeAutospacing="1" w:afterAutospacing="1"/>
            </w:pPr>
            <w:r>
              <w:rPr>
                <w:color w:val="000000"/>
                <w:sz w:val="22"/>
              </w:rPr>
              <w:t xml:space="preserve"> </w:t>
            </w:r>
          </w:p>
        </w:tc>
        <w:tc>
          <w:tcPr>
            <w:tcW w:w="0" w:type="auto"/>
            <w:vAlign w:val="center"/>
          </w:tcPr>
          <w:p w14:paraId="5D3A23FA" w14:textId="77777777" w:rsidR="00E2285C" w:rsidRDefault="00730313">
            <w:pPr>
              <w:spacing w:beforeAutospacing="1" w:afterAutospacing="1"/>
            </w:pPr>
            <w:r>
              <w:rPr>
                <w:color w:val="000000"/>
                <w:sz w:val="22"/>
              </w:rPr>
              <w:t xml:space="preserve"> </w:t>
            </w:r>
          </w:p>
        </w:tc>
      </w:tr>
      <w:tr w:rsidR="00E2285C" w14:paraId="1C5185EE" w14:textId="77777777">
        <w:trPr>
          <w:cantSplit/>
        </w:trPr>
        <w:tc>
          <w:tcPr>
            <w:tcW w:w="0" w:type="auto"/>
            <w:vAlign w:val="center"/>
          </w:tcPr>
          <w:p w14:paraId="30FD423B" w14:textId="77777777" w:rsidR="00E2285C" w:rsidRDefault="00730313">
            <w:pPr>
              <w:spacing w:beforeAutospacing="1" w:afterAutospacing="1"/>
            </w:pPr>
            <w:r>
              <w:rPr>
                <w:color w:val="000000"/>
                <w:sz w:val="22"/>
              </w:rPr>
              <w:t>Provide Shelter and Services for Homeless</w:t>
            </w:r>
          </w:p>
        </w:tc>
        <w:tc>
          <w:tcPr>
            <w:tcW w:w="0" w:type="auto"/>
            <w:vAlign w:val="center"/>
          </w:tcPr>
          <w:p w14:paraId="7EE297DD" w14:textId="77777777" w:rsidR="00E2285C" w:rsidRDefault="00730313">
            <w:pPr>
              <w:spacing w:beforeAutospacing="1" w:afterAutospacing="1"/>
            </w:pPr>
            <w:r>
              <w:rPr>
                <w:color w:val="000000"/>
                <w:sz w:val="22"/>
              </w:rPr>
              <w:t>Homeless</w:t>
            </w:r>
          </w:p>
        </w:tc>
        <w:tc>
          <w:tcPr>
            <w:tcW w:w="0" w:type="auto"/>
            <w:vAlign w:val="center"/>
          </w:tcPr>
          <w:p w14:paraId="55E8EF99" w14:textId="77777777" w:rsidR="00E2285C" w:rsidRDefault="00730313">
            <w:pPr>
              <w:spacing w:beforeAutospacing="1" w:afterAutospacing="1"/>
            </w:pPr>
            <w:r>
              <w:rPr>
                <w:color w:val="000000"/>
                <w:sz w:val="22"/>
              </w:rPr>
              <w:t>CDBG: $</w:t>
            </w:r>
          </w:p>
        </w:tc>
        <w:tc>
          <w:tcPr>
            <w:tcW w:w="0" w:type="auto"/>
            <w:vAlign w:val="center"/>
          </w:tcPr>
          <w:p w14:paraId="643C933A" w14:textId="77777777" w:rsidR="00E2285C" w:rsidRDefault="00730313">
            <w:pPr>
              <w:spacing w:beforeAutospacing="1" w:afterAutospacing="1"/>
            </w:pPr>
            <w:r>
              <w:rPr>
                <w:color w:val="000000"/>
                <w:sz w:val="22"/>
              </w:rPr>
              <w:t>Homeless Person Overnight Shelter</w:t>
            </w:r>
          </w:p>
        </w:tc>
        <w:tc>
          <w:tcPr>
            <w:tcW w:w="0" w:type="auto"/>
            <w:vAlign w:val="center"/>
          </w:tcPr>
          <w:p w14:paraId="02E8FF53" w14:textId="77777777" w:rsidR="00E2285C" w:rsidRDefault="00730313">
            <w:pPr>
              <w:spacing w:beforeAutospacing="1" w:afterAutospacing="1"/>
            </w:pPr>
            <w:r>
              <w:rPr>
                <w:color w:val="000000"/>
                <w:sz w:val="22"/>
              </w:rPr>
              <w:t>Persons Assisted</w:t>
            </w:r>
          </w:p>
        </w:tc>
        <w:tc>
          <w:tcPr>
            <w:tcW w:w="0" w:type="auto"/>
            <w:vAlign w:val="center"/>
          </w:tcPr>
          <w:p w14:paraId="3F97D22B" w14:textId="77777777" w:rsidR="00E2285C" w:rsidRDefault="00730313">
            <w:pPr>
              <w:spacing w:beforeAutospacing="1" w:afterAutospacing="1"/>
            </w:pPr>
            <w:r>
              <w:rPr>
                <w:color w:val="000000"/>
                <w:sz w:val="22"/>
              </w:rPr>
              <w:t>175</w:t>
            </w:r>
          </w:p>
        </w:tc>
        <w:tc>
          <w:tcPr>
            <w:tcW w:w="0" w:type="auto"/>
            <w:vAlign w:val="center"/>
          </w:tcPr>
          <w:p w14:paraId="3E668C3F" w14:textId="77777777" w:rsidR="00E2285C" w:rsidRDefault="00730313">
            <w:pPr>
              <w:spacing w:beforeAutospacing="1" w:afterAutospacing="1"/>
            </w:pPr>
            <w:r>
              <w:rPr>
                <w:color w:val="000000"/>
                <w:sz w:val="22"/>
              </w:rPr>
              <w:t>365</w:t>
            </w:r>
          </w:p>
        </w:tc>
        <w:tc>
          <w:tcPr>
            <w:tcW w:w="0" w:type="auto"/>
            <w:vAlign w:val="center"/>
          </w:tcPr>
          <w:p w14:paraId="7F1F2872" w14:textId="77777777" w:rsidR="00E2285C" w:rsidRDefault="00730313">
            <w:pPr>
              <w:spacing w:beforeAutospacing="1" w:afterAutospacing="1"/>
            </w:pPr>
            <w:r>
              <w:rPr>
                <w:color w:val="000000"/>
                <w:sz w:val="22"/>
              </w:rPr>
              <w:t xml:space="preserve">       208.57%</w:t>
            </w:r>
          </w:p>
        </w:tc>
        <w:tc>
          <w:tcPr>
            <w:tcW w:w="0" w:type="auto"/>
            <w:vAlign w:val="center"/>
          </w:tcPr>
          <w:p w14:paraId="695F9C44" w14:textId="77777777" w:rsidR="00E2285C" w:rsidRDefault="00730313">
            <w:pPr>
              <w:spacing w:beforeAutospacing="1" w:afterAutospacing="1"/>
            </w:pPr>
            <w:r>
              <w:rPr>
                <w:color w:val="000000"/>
                <w:sz w:val="22"/>
              </w:rPr>
              <w:t>38</w:t>
            </w:r>
          </w:p>
        </w:tc>
        <w:tc>
          <w:tcPr>
            <w:tcW w:w="0" w:type="auto"/>
            <w:vAlign w:val="center"/>
          </w:tcPr>
          <w:p w14:paraId="13FACA7A" w14:textId="77777777" w:rsidR="00E2285C" w:rsidRDefault="00730313">
            <w:pPr>
              <w:spacing w:beforeAutospacing="1" w:afterAutospacing="1"/>
            </w:pPr>
            <w:r>
              <w:rPr>
                <w:color w:val="000000"/>
                <w:sz w:val="22"/>
              </w:rPr>
              <w:t>71</w:t>
            </w:r>
          </w:p>
        </w:tc>
        <w:tc>
          <w:tcPr>
            <w:tcW w:w="0" w:type="auto"/>
            <w:vAlign w:val="center"/>
          </w:tcPr>
          <w:p w14:paraId="173661C5" w14:textId="77777777" w:rsidR="00E2285C" w:rsidRDefault="00730313">
            <w:pPr>
              <w:spacing w:beforeAutospacing="1" w:afterAutospacing="1"/>
            </w:pPr>
            <w:r>
              <w:rPr>
                <w:color w:val="000000"/>
                <w:sz w:val="22"/>
              </w:rPr>
              <w:t xml:space="preserve">       186.84%</w:t>
            </w:r>
          </w:p>
        </w:tc>
      </w:tr>
      <w:tr w:rsidR="00E2285C" w14:paraId="1A246F6D" w14:textId="77777777">
        <w:trPr>
          <w:cantSplit/>
        </w:trPr>
        <w:tc>
          <w:tcPr>
            <w:tcW w:w="0" w:type="auto"/>
            <w:vAlign w:val="center"/>
          </w:tcPr>
          <w:p w14:paraId="7E8BBA3F" w14:textId="77777777" w:rsidR="00E2285C" w:rsidRDefault="00730313">
            <w:pPr>
              <w:spacing w:beforeAutospacing="1" w:afterAutospacing="1"/>
            </w:pPr>
            <w:r>
              <w:rPr>
                <w:color w:val="000000"/>
                <w:sz w:val="22"/>
              </w:rPr>
              <w:t>Provide Shelter and Services for Homeless</w:t>
            </w:r>
          </w:p>
        </w:tc>
        <w:tc>
          <w:tcPr>
            <w:tcW w:w="0" w:type="auto"/>
            <w:vAlign w:val="center"/>
          </w:tcPr>
          <w:p w14:paraId="51750B55" w14:textId="77777777" w:rsidR="00E2285C" w:rsidRDefault="00730313">
            <w:pPr>
              <w:spacing w:beforeAutospacing="1" w:afterAutospacing="1"/>
            </w:pPr>
            <w:r>
              <w:rPr>
                <w:color w:val="000000"/>
                <w:sz w:val="22"/>
              </w:rPr>
              <w:t>Homeless</w:t>
            </w:r>
          </w:p>
        </w:tc>
        <w:tc>
          <w:tcPr>
            <w:tcW w:w="0" w:type="auto"/>
            <w:vAlign w:val="center"/>
          </w:tcPr>
          <w:p w14:paraId="12408CE1" w14:textId="77777777" w:rsidR="00E2285C" w:rsidRDefault="00730313">
            <w:pPr>
              <w:spacing w:beforeAutospacing="1" w:afterAutospacing="1"/>
            </w:pPr>
            <w:r>
              <w:rPr>
                <w:color w:val="000000"/>
                <w:sz w:val="22"/>
              </w:rPr>
              <w:t>CDBG: $</w:t>
            </w:r>
          </w:p>
        </w:tc>
        <w:tc>
          <w:tcPr>
            <w:tcW w:w="0" w:type="auto"/>
            <w:vAlign w:val="center"/>
          </w:tcPr>
          <w:p w14:paraId="516954C6" w14:textId="77777777" w:rsidR="00E2285C" w:rsidRDefault="00730313">
            <w:pPr>
              <w:spacing w:beforeAutospacing="1" w:afterAutospacing="1"/>
            </w:pPr>
            <w:r>
              <w:rPr>
                <w:color w:val="000000"/>
                <w:sz w:val="22"/>
              </w:rPr>
              <w:t>Overnight/Emergency Shelter/Transitional Housing Beds added</w:t>
            </w:r>
          </w:p>
        </w:tc>
        <w:tc>
          <w:tcPr>
            <w:tcW w:w="0" w:type="auto"/>
            <w:vAlign w:val="center"/>
          </w:tcPr>
          <w:p w14:paraId="50E6233E" w14:textId="77777777" w:rsidR="00E2285C" w:rsidRDefault="00730313">
            <w:pPr>
              <w:spacing w:beforeAutospacing="1" w:afterAutospacing="1"/>
            </w:pPr>
            <w:r>
              <w:rPr>
                <w:color w:val="000000"/>
                <w:sz w:val="22"/>
              </w:rPr>
              <w:t>Beds</w:t>
            </w:r>
          </w:p>
        </w:tc>
        <w:tc>
          <w:tcPr>
            <w:tcW w:w="0" w:type="auto"/>
            <w:vAlign w:val="center"/>
          </w:tcPr>
          <w:p w14:paraId="27E2F045" w14:textId="77777777" w:rsidR="00E2285C" w:rsidRDefault="00730313">
            <w:pPr>
              <w:spacing w:beforeAutospacing="1" w:afterAutospacing="1"/>
            </w:pPr>
            <w:r>
              <w:rPr>
                <w:color w:val="000000"/>
                <w:sz w:val="22"/>
              </w:rPr>
              <w:t>10</w:t>
            </w:r>
          </w:p>
        </w:tc>
        <w:tc>
          <w:tcPr>
            <w:tcW w:w="0" w:type="auto"/>
            <w:vAlign w:val="center"/>
          </w:tcPr>
          <w:p w14:paraId="48284C60" w14:textId="77777777" w:rsidR="00E2285C" w:rsidRDefault="00730313">
            <w:pPr>
              <w:spacing w:beforeAutospacing="1" w:afterAutospacing="1"/>
            </w:pPr>
            <w:r>
              <w:rPr>
                <w:color w:val="000000"/>
                <w:sz w:val="22"/>
              </w:rPr>
              <w:t>10</w:t>
            </w:r>
          </w:p>
        </w:tc>
        <w:tc>
          <w:tcPr>
            <w:tcW w:w="0" w:type="auto"/>
            <w:vAlign w:val="center"/>
          </w:tcPr>
          <w:p w14:paraId="4D06D963" w14:textId="77777777" w:rsidR="00E2285C" w:rsidRDefault="00730313">
            <w:pPr>
              <w:spacing w:beforeAutospacing="1" w:afterAutospacing="1"/>
            </w:pPr>
            <w:r>
              <w:rPr>
                <w:color w:val="000000"/>
                <w:sz w:val="22"/>
              </w:rPr>
              <w:t xml:space="preserve">       100.00%</w:t>
            </w:r>
          </w:p>
        </w:tc>
        <w:tc>
          <w:tcPr>
            <w:tcW w:w="0" w:type="auto"/>
            <w:vAlign w:val="center"/>
          </w:tcPr>
          <w:p w14:paraId="1ACE94FE" w14:textId="77777777" w:rsidR="00E2285C" w:rsidRDefault="00730313">
            <w:pPr>
              <w:spacing w:beforeAutospacing="1" w:afterAutospacing="1"/>
            </w:pPr>
            <w:r>
              <w:rPr>
                <w:color w:val="000000"/>
                <w:sz w:val="22"/>
              </w:rPr>
              <w:t xml:space="preserve"> </w:t>
            </w:r>
          </w:p>
        </w:tc>
        <w:tc>
          <w:tcPr>
            <w:tcW w:w="0" w:type="auto"/>
            <w:vAlign w:val="center"/>
          </w:tcPr>
          <w:p w14:paraId="02368894" w14:textId="77777777" w:rsidR="00E2285C" w:rsidRDefault="00730313">
            <w:pPr>
              <w:spacing w:beforeAutospacing="1" w:afterAutospacing="1"/>
            </w:pPr>
            <w:r>
              <w:rPr>
                <w:color w:val="000000"/>
                <w:sz w:val="22"/>
              </w:rPr>
              <w:t xml:space="preserve"> </w:t>
            </w:r>
          </w:p>
        </w:tc>
        <w:tc>
          <w:tcPr>
            <w:tcW w:w="0" w:type="auto"/>
            <w:vAlign w:val="center"/>
          </w:tcPr>
          <w:p w14:paraId="01224101" w14:textId="77777777" w:rsidR="00E2285C" w:rsidRDefault="00730313">
            <w:pPr>
              <w:spacing w:beforeAutospacing="1" w:afterAutospacing="1"/>
            </w:pPr>
            <w:r>
              <w:rPr>
                <w:color w:val="000000"/>
                <w:sz w:val="22"/>
              </w:rPr>
              <w:t xml:space="preserve"> </w:t>
            </w:r>
          </w:p>
        </w:tc>
      </w:tr>
      <w:tr w:rsidR="00E2285C" w14:paraId="69E4328F" w14:textId="77777777">
        <w:trPr>
          <w:cantSplit/>
        </w:trPr>
        <w:tc>
          <w:tcPr>
            <w:tcW w:w="0" w:type="auto"/>
            <w:vAlign w:val="center"/>
          </w:tcPr>
          <w:p w14:paraId="02D36B95" w14:textId="77777777" w:rsidR="00E2285C" w:rsidRDefault="00730313">
            <w:pPr>
              <w:spacing w:beforeAutospacing="1" w:afterAutospacing="1"/>
            </w:pPr>
            <w:r>
              <w:rPr>
                <w:color w:val="000000"/>
                <w:sz w:val="22"/>
              </w:rPr>
              <w:t>Provide Shelter and Services for Homeless</w:t>
            </w:r>
          </w:p>
        </w:tc>
        <w:tc>
          <w:tcPr>
            <w:tcW w:w="0" w:type="auto"/>
            <w:vAlign w:val="center"/>
          </w:tcPr>
          <w:p w14:paraId="03D2E252" w14:textId="77777777" w:rsidR="00E2285C" w:rsidRDefault="00730313">
            <w:pPr>
              <w:spacing w:beforeAutospacing="1" w:afterAutospacing="1"/>
            </w:pPr>
            <w:r>
              <w:rPr>
                <w:color w:val="000000"/>
                <w:sz w:val="22"/>
              </w:rPr>
              <w:t>Homeless</w:t>
            </w:r>
          </w:p>
        </w:tc>
        <w:tc>
          <w:tcPr>
            <w:tcW w:w="0" w:type="auto"/>
            <w:vAlign w:val="center"/>
          </w:tcPr>
          <w:p w14:paraId="4C410963" w14:textId="77777777" w:rsidR="00E2285C" w:rsidRDefault="00730313">
            <w:pPr>
              <w:spacing w:beforeAutospacing="1" w:afterAutospacing="1"/>
            </w:pPr>
            <w:r>
              <w:rPr>
                <w:color w:val="000000"/>
                <w:sz w:val="22"/>
              </w:rPr>
              <w:t>CDBG: $</w:t>
            </w:r>
          </w:p>
        </w:tc>
        <w:tc>
          <w:tcPr>
            <w:tcW w:w="0" w:type="auto"/>
            <w:vAlign w:val="center"/>
          </w:tcPr>
          <w:p w14:paraId="7611F453" w14:textId="77777777" w:rsidR="00E2285C" w:rsidRDefault="00730313">
            <w:pPr>
              <w:spacing w:beforeAutospacing="1" w:afterAutospacing="1"/>
            </w:pPr>
            <w:r>
              <w:rPr>
                <w:color w:val="000000"/>
                <w:sz w:val="22"/>
              </w:rPr>
              <w:t>Homelessness Prevention</w:t>
            </w:r>
          </w:p>
        </w:tc>
        <w:tc>
          <w:tcPr>
            <w:tcW w:w="0" w:type="auto"/>
            <w:vAlign w:val="center"/>
          </w:tcPr>
          <w:p w14:paraId="29D70153" w14:textId="77777777" w:rsidR="00E2285C" w:rsidRDefault="00730313">
            <w:pPr>
              <w:spacing w:beforeAutospacing="1" w:afterAutospacing="1"/>
            </w:pPr>
            <w:r>
              <w:rPr>
                <w:color w:val="000000"/>
                <w:sz w:val="22"/>
              </w:rPr>
              <w:t>Persons Assisted</w:t>
            </w:r>
          </w:p>
        </w:tc>
        <w:tc>
          <w:tcPr>
            <w:tcW w:w="0" w:type="auto"/>
            <w:vAlign w:val="center"/>
          </w:tcPr>
          <w:p w14:paraId="385A99A8" w14:textId="77777777" w:rsidR="00E2285C" w:rsidRDefault="00730313">
            <w:pPr>
              <w:spacing w:beforeAutospacing="1" w:afterAutospacing="1"/>
            </w:pPr>
            <w:r>
              <w:rPr>
                <w:color w:val="000000"/>
                <w:sz w:val="22"/>
              </w:rPr>
              <w:t>500</w:t>
            </w:r>
          </w:p>
        </w:tc>
        <w:tc>
          <w:tcPr>
            <w:tcW w:w="0" w:type="auto"/>
            <w:vAlign w:val="center"/>
          </w:tcPr>
          <w:p w14:paraId="06C586F8" w14:textId="77777777" w:rsidR="00E2285C" w:rsidRDefault="00730313">
            <w:pPr>
              <w:spacing w:beforeAutospacing="1" w:afterAutospacing="1"/>
            </w:pPr>
            <w:r>
              <w:rPr>
                <w:color w:val="000000"/>
                <w:sz w:val="22"/>
              </w:rPr>
              <w:t>364</w:t>
            </w:r>
          </w:p>
        </w:tc>
        <w:tc>
          <w:tcPr>
            <w:tcW w:w="0" w:type="auto"/>
            <w:vAlign w:val="center"/>
          </w:tcPr>
          <w:p w14:paraId="62D78FC4" w14:textId="77777777" w:rsidR="00E2285C" w:rsidRDefault="00730313">
            <w:pPr>
              <w:spacing w:beforeAutospacing="1" w:afterAutospacing="1"/>
            </w:pPr>
            <w:r>
              <w:rPr>
                <w:color w:val="000000"/>
                <w:sz w:val="22"/>
              </w:rPr>
              <w:t xml:space="preserve">        72.80%</w:t>
            </w:r>
          </w:p>
        </w:tc>
        <w:tc>
          <w:tcPr>
            <w:tcW w:w="0" w:type="auto"/>
            <w:vAlign w:val="center"/>
          </w:tcPr>
          <w:p w14:paraId="02B32A79" w14:textId="77777777" w:rsidR="00E2285C" w:rsidRDefault="00730313">
            <w:pPr>
              <w:spacing w:beforeAutospacing="1" w:afterAutospacing="1"/>
            </w:pPr>
            <w:r>
              <w:rPr>
                <w:color w:val="000000"/>
                <w:sz w:val="22"/>
              </w:rPr>
              <w:t>50</w:t>
            </w:r>
          </w:p>
        </w:tc>
        <w:tc>
          <w:tcPr>
            <w:tcW w:w="0" w:type="auto"/>
            <w:vAlign w:val="center"/>
          </w:tcPr>
          <w:p w14:paraId="2E711663" w14:textId="77777777" w:rsidR="00E2285C" w:rsidRDefault="00730313">
            <w:pPr>
              <w:spacing w:beforeAutospacing="1" w:afterAutospacing="1"/>
            </w:pPr>
            <w:r>
              <w:rPr>
                <w:color w:val="000000"/>
                <w:sz w:val="22"/>
              </w:rPr>
              <w:t>97</w:t>
            </w:r>
          </w:p>
        </w:tc>
        <w:tc>
          <w:tcPr>
            <w:tcW w:w="0" w:type="auto"/>
            <w:vAlign w:val="center"/>
          </w:tcPr>
          <w:p w14:paraId="437490CF" w14:textId="77777777" w:rsidR="00E2285C" w:rsidRDefault="00730313">
            <w:pPr>
              <w:spacing w:beforeAutospacing="1" w:afterAutospacing="1"/>
            </w:pPr>
            <w:r>
              <w:rPr>
                <w:color w:val="000000"/>
                <w:sz w:val="22"/>
              </w:rPr>
              <w:t xml:space="preserve">       194.00%</w:t>
            </w:r>
          </w:p>
        </w:tc>
      </w:tr>
      <w:tr w:rsidR="00E2285C" w14:paraId="484B4452" w14:textId="77777777">
        <w:trPr>
          <w:cantSplit/>
        </w:trPr>
        <w:tc>
          <w:tcPr>
            <w:tcW w:w="0" w:type="auto"/>
            <w:vAlign w:val="center"/>
          </w:tcPr>
          <w:p w14:paraId="72747E39" w14:textId="77777777" w:rsidR="00E2285C" w:rsidRDefault="00730313">
            <w:pPr>
              <w:spacing w:beforeAutospacing="1" w:afterAutospacing="1"/>
            </w:pPr>
            <w:r>
              <w:rPr>
                <w:color w:val="000000"/>
                <w:sz w:val="22"/>
              </w:rPr>
              <w:t>Provide Shelter and Services for Homeless</w:t>
            </w:r>
          </w:p>
        </w:tc>
        <w:tc>
          <w:tcPr>
            <w:tcW w:w="0" w:type="auto"/>
            <w:vAlign w:val="center"/>
          </w:tcPr>
          <w:p w14:paraId="7A1B4E95" w14:textId="77777777" w:rsidR="00E2285C" w:rsidRDefault="00730313">
            <w:pPr>
              <w:spacing w:beforeAutospacing="1" w:afterAutospacing="1"/>
            </w:pPr>
            <w:r>
              <w:rPr>
                <w:color w:val="000000"/>
                <w:sz w:val="22"/>
              </w:rPr>
              <w:t>Homeless</w:t>
            </w:r>
          </w:p>
        </w:tc>
        <w:tc>
          <w:tcPr>
            <w:tcW w:w="0" w:type="auto"/>
            <w:vAlign w:val="center"/>
          </w:tcPr>
          <w:p w14:paraId="04A2B054" w14:textId="77777777" w:rsidR="00E2285C" w:rsidRDefault="00730313">
            <w:pPr>
              <w:spacing w:beforeAutospacing="1" w:afterAutospacing="1"/>
            </w:pPr>
            <w:r>
              <w:rPr>
                <w:color w:val="000000"/>
                <w:sz w:val="22"/>
              </w:rPr>
              <w:t>CDBG: $</w:t>
            </w:r>
          </w:p>
        </w:tc>
        <w:tc>
          <w:tcPr>
            <w:tcW w:w="0" w:type="auto"/>
            <w:vAlign w:val="center"/>
          </w:tcPr>
          <w:p w14:paraId="70534647" w14:textId="77777777" w:rsidR="00E2285C" w:rsidRDefault="00730313">
            <w:pPr>
              <w:spacing w:beforeAutospacing="1" w:afterAutospacing="1"/>
            </w:pPr>
            <w:r>
              <w:rPr>
                <w:color w:val="000000"/>
                <w:sz w:val="22"/>
              </w:rPr>
              <w:t>Housing for Homeless added</w:t>
            </w:r>
          </w:p>
        </w:tc>
        <w:tc>
          <w:tcPr>
            <w:tcW w:w="0" w:type="auto"/>
            <w:vAlign w:val="center"/>
          </w:tcPr>
          <w:p w14:paraId="45BC01BC" w14:textId="77777777" w:rsidR="00E2285C" w:rsidRDefault="00730313">
            <w:pPr>
              <w:spacing w:beforeAutospacing="1" w:afterAutospacing="1"/>
            </w:pPr>
            <w:r>
              <w:rPr>
                <w:color w:val="000000"/>
                <w:sz w:val="22"/>
              </w:rPr>
              <w:t>Household Housing Unit</w:t>
            </w:r>
          </w:p>
        </w:tc>
        <w:tc>
          <w:tcPr>
            <w:tcW w:w="0" w:type="auto"/>
            <w:vAlign w:val="center"/>
          </w:tcPr>
          <w:p w14:paraId="589B7185" w14:textId="77777777" w:rsidR="00E2285C" w:rsidRDefault="00730313">
            <w:pPr>
              <w:spacing w:beforeAutospacing="1" w:afterAutospacing="1"/>
            </w:pPr>
            <w:r>
              <w:rPr>
                <w:color w:val="000000"/>
                <w:sz w:val="22"/>
              </w:rPr>
              <w:t>35</w:t>
            </w:r>
          </w:p>
        </w:tc>
        <w:tc>
          <w:tcPr>
            <w:tcW w:w="0" w:type="auto"/>
            <w:vAlign w:val="center"/>
          </w:tcPr>
          <w:p w14:paraId="5E5EEE8E" w14:textId="77777777" w:rsidR="00E2285C" w:rsidRDefault="00730313">
            <w:pPr>
              <w:spacing w:beforeAutospacing="1" w:afterAutospacing="1"/>
            </w:pPr>
            <w:r>
              <w:rPr>
                <w:color w:val="000000"/>
                <w:sz w:val="22"/>
              </w:rPr>
              <w:t>1</w:t>
            </w:r>
          </w:p>
        </w:tc>
        <w:tc>
          <w:tcPr>
            <w:tcW w:w="0" w:type="auto"/>
            <w:vAlign w:val="center"/>
          </w:tcPr>
          <w:p w14:paraId="7AF2A55C" w14:textId="77777777" w:rsidR="00E2285C" w:rsidRDefault="00730313">
            <w:pPr>
              <w:spacing w:beforeAutospacing="1" w:afterAutospacing="1"/>
            </w:pPr>
            <w:r>
              <w:rPr>
                <w:color w:val="000000"/>
                <w:sz w:val="22"/>
              </w:rPr>
              <w:t xml:space="preserve">         2.86%</w:t>
            </w:r>
          </w:p>
        </w:tc>
        <w:tc>
          <w:tcPr>
            <w:tcW w:w="0" w:type="auto"/>
            <w:vAlign w:val="center"/>
          </w:tcPr>
          <w:p w14:paraId="49BEAA37" w14:textId="77777777" w:rsidR="00E2285C" w:rsidRDefault="00730313">
            <w:pPr>
              <w:spacing w:beforeAutospacing="1" w:afterAutospacing="1"/>
            </w:pPr>
            <w:r>
              <w:rPr>
                <w:color w:val="000000"/>
                <w:sz w:val="22"/>
              </w:rPr>
              <w:t>5</w:t>
            </w:r>
          </w:p>
        </w:tc>
        <w:tc>
          <w:tcPr>
            <w:tcW w:w="0" w:type="auto"/>
            <w:vAlign w:val="center"/>
          </w:tcPr>
          <w:p w14:paraId="3294DA1F" w14:textId="77777777" w:rsidR="00E2285C" w:rsidRDefault="00730313">
            <w:pPr>
              <w:spacing w:beforeAutospacing="1" w:afterAutospacing="1"/>
            </w:pPr>
            <w:r>
              <w:rPr>
                <w:color w:val="000000"/>
                <w:sz w:val="22"/>
              </w:rPr>
              <w:t>1</w:t>
            </w:r>
          </w:p>
        </w:tc>
        <w:tc>
          <w:tcPr>
            <w:tcW w:w="0" w:type="auto"/>
            <w:vAlign w:val="center"/>
          </w:tcPr>
          <w:p w14:paraId="13809E72" w14:textId="77777777" w:rsidR="00E2285C" w:rsidRDefault="00730313">
            <w:pPr>
              <w:spacing w:beforeAutospacing="1" w:afterAutospacing="1"/>
            </w:pPr>
            <w:r>
              <w:rPr>
                <w:color w:val="000000"/>
                <w:sz w:val="22"/>
              </w:rPr>
              <w:t xml:space="preserve">        20.00%</w:t>
            </w:r>
          </w:p>
        </w:tc>
      </w:tr>
      <w:tr w:rsidR="00E2285C" w14:paraId="455ED693" w14:textId="77777777">
        <w:trPr>
          <w:cantSplit/>
        </w:trPr>
        <w:tc>
          <w:tcPr>
            <w:tcW w:w="0" w:type="auto"/>
            <w:vAlign w:val="center"/>
          </w:tcPr>
          <w:p w14:paraId="0A88CD84" w14:textId="77777777" w:rsidR="00E2285C" w:rsidRDefault="00730313">
            <w:pPr>
              <w:spacing w:beforeAutospacing="1" w:afterAutospacing="1"/>
            </w:pPr>
            <w:r>
              <w:rPr>
                <w:color w:val="000000"/>
                <w:sz w:val="22"/>
              </w:rPr>
              <w:t>Stabilize Neighborhoods</w:t>
            </w:r>
          </w:p>
        </w:tc>
        <w:tc>
          <w:tcPr>
            <w:tcW w:w="0" w:type="auto"/>
            <w:vAlign w:val="center"/>
          </w:tcPr>
          <w:p w14:paraId="3D40FE9F"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0174E00C" w14:textId="77777777" w:rsidR="00E2285C" w:rsidRDefault="00730313">
            <w:pPr>
              <w:spacing w:beforeAutospacing="1" w:afterAutospacing="1"/>
            </w:pPr>
            <w:r>
              <w:rPr>
                <w:color w:val="000000"/>
                <w:sz w:val="22"/>
              </w:rPr>
              <w:t>CDBG: $</w:t>
            </w:r>
          </w:p>
        </w:tc>
        <w:tc>
          <w:tcPr>
            <w:tcW w:w="0" w:type="auto"/>
            <w:vAlign w:val="center"/>
          </w:tcPr>
          <w:p w14:paraId="7BC3EE5E" w14:textId="77777777" w:rsidR="00E2285C" w:rsidRDefault="00730313">
            <w:pPr>
              <w:spacing w:beforeAutospacing="1" w:afterAutospacing="1"/>
            </w:pPr>
            <w:r>
              <w:rPr>
                <w:color w:val="000000"/>
                <w:sz w:val="22"/>
              </w:rPr>
              <w:t>Public Facility or Infrastructure Activities other than Low/Moderate Income Housing Benefit</w:t>
            </w:r>
          </w:p>
        </w:tc>
        <w:tc>
          <w:tcPr>
            <w:tcW w:w="0" w:type="auto"/>
            <w:vAlign w:val="center"/>
          </w:tcPr>
          <w:p w14:paraId="269C8D54" w14:textId="77777777" w:rsidR="00E2285C" w:rsidRDefault="00730313">
            <w:pPr>
              <w:spacing w:beforeAutospacing="1" w:afterAutospacing="1"/>
            </w:pPr>
            <w:r>
              <w:rPr>
                <w:color w:val="000000"/>
                <w:sz w:val="22"/>
              </w:rPr>
              <w:t>Persons Assisted</w:t>
            </w:r>
          </w:p>
        </w:tc>
        <w:tc>
          <w:tcPr>
            <w:tcW w:w="0" w:type="auto"/>
            <w:vAlign w:val="center"/>
          </w:tcPr>
          <w:p w14:paraId="5EE69439" w14:textId="77777777" w:rsidR="00E2285C" w:rsidRDefault="00730313">
            <w:pPr>
              <w:spacing w:beforeAutospacing="1" w:afterAutospacing="1"/>
            </w:pPr>
            <w:r>
              <w:rPr>
                <w:color w:val="000000"/>
                <w:sz w:val="22"/>
              </w:rPr>
              <w:t>25000</w:t>
            </w:r>
          </w:p>
        </w:tc>
        <w:tc>
          <w:tcPr>
            <w:tcW w:w="0" w:type="auto"/>
            <w:vAlign w:val="center"/>
          </w:tcPr>
          <w:p w14:paraId="4ED13E33" w14:textId="77777777" w:rsidR="00E2285C" w:rsidRDefault="00730313">
            <w:pPr>
              <w:spacing w:beforeAutospacing="1" w:afterAutospacing="1"/>
            </w:pPr>
            <w:r>
              <w:rPr>
                <w:color w:val="000000"/>
                <w:sz w:val="22"/>
              </w:rPr>
              <w:t>46231</w:t>
            </w:r>
          </w:p>
        </w:tc>
        <w:tc>
          <w:tcPr>
            <w:tcW w:w="0" w:type="auto"/>
            <w:vAlign w:val="center"/>
          </w:tcPr>
          <w:p w14:paraId="4C4C0F28" w14:textId="77777777" w:rsidR="00E2285C" w:rsidRDefault="00730313">
            <w:pPr>
              <w:spacing w:beforeAutospacing="1" w:afterAutospacing="1"/>
            </w:pPr>
            <w:r>
              <w:rPr>
                <w:color w:val="000000"/>
                <w:sz w:val="22"/>
              </w:rPr>
              <w:t xml:space="preserve">       184.92%</w:t>
            </w:r>
          </w:p>
        </w:tc>
        <w:tc>
          <w:tcPr>
            <w:tcW w:w="0" w:type="auto"/>
            <w:vAlign w:val="center"/>
          </w:tcPr>
          <w:p w14:paraId="1CEE4933" w14:textId="77777777" w:rsidR="00E2285C" w:rsidRDefault="00730313">
            <w:pPr>
              <w:spacing w:beforeAutospacing="1" w:afterAutospacing="1"/>
            </w:pPr>
            <w:r>
              <w:rPr>
                <w:color w:val="000000"/>
                <w:sz w:val="22"/>
              </w:rPr>
              <w:t>1750</w:t>
            </w:r>
          </w:p>
        </w:tc>
        <w:tc>
          <w:tcPr>
            <w:tcW w:w="0" w:type="auto"/>
            <w:vAlign w:val="center"/>
          </w:tcPr>
          <w:p w14:paraId="7C7AF0EE" w14:textId="77777777" w:rsidR="00E2285C" w:rsidRDefault="00730313">
            <w:pPr>
              <w:spacing w:beforeAutospacing="1" w:afterAutospacing="1"/>
            </w:pPr>
            <w:r>
              <w:rPr>
                <w:color w:val="000000"/>
                <w:sz w:val="22"/>
              </w:rPr>
              <w:t>1212</w:t>
            </w:r>
          </w:p>
        </w:tc>
        <w:tc>
          <w:tcPr>
            <w:tcW w:w="0" w:type="auto"/>
            <w:vAlign w:val="center"/>
          </w:tcPr>
          <w:p w14:paraId="1379DEA3" w14:textId="77777777" w:rsidR="00E2285C" w:rsidRDefault="00730313">
            <w:pPr>
              <w:spacing w:beforeAutospacing="1" w:afterAutospacing="1"/>
            </w:pPr>
            <w:r>
              <w:rPr>
                <w:color w:val="000000"/>
                <w:sz w:val="22"/>
              </w:rPr>
              <w:t xml:space="preserve">        69.26%</w:t>
            </w:r>
          </w:p>
        </w:tc>
      </w:tr>
      <w:tr w:rsidR="00E2285C" w14:paraId="7A412816" w14:textId="77777777">
        <w:trPr>
          <w:cantSplit/>
        </w:trPr>
        <w:tc>
          <w:tcPr>
            <w:tcW w:w="0" w:type="auto"/>
            <w:vAlign w:val="center"/>
          </w:tcPr>
          <w:p w14:paraId="625AAA8E" w14:textId="77777777" w:rsidR="00E2285C" w:rsidRDefault="00730313">
            <w:pPr>
              <w:spacing w:beforeAutospacing="1" w:afterAutospacing="1"/>
            </w:pPr>
            <w:r>
              <w:rPr>
                <w:color w:val="000000"/>
                <w:sz w:val="22"/>
              </w:rPr>
              <w:lastRenderedPageBreak/>
              <w:t>Stabilize Neighborhoods</w:t>
            </w:r>
          </w:p>
        </w:tc>
        <w:tc>
          <w:tcPr>
            <w:tcW w:w="0" w:type="auto"/>
            <w:vAlign w:val="center"/>
          </w:tcPr>
          <w:p w14:paraId="4B4DEBAB"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0756D00C" w14:textId="77777777" w:rsidR="00E2285C" w:rsidRDefault="00730313">
            <w:pPr>
              <w:spacing w:beforeAutospacing="1" w:afterAutospacing="1"/>
            </w:pPr>
            <w:r>
              <w:rPr>
                <w:color w:val="000000"/>
                <w:sz w:val="22"/>
              </w:rPr>
              <w:t>CDBG: $</w:t>
            </w:r>
          </w:p>
        </w:tc>
        <w:tc>
          <w:tcPr>
            <w:tcW w:w="0" w:type="auto"/>
            <w:vAlign w:val="center"/>
          </w:tcPr>
          <w:p w14:paraId="2878166E" w14:textId="77777777" w:rsidR="00E2285C" w:rsidRDefault="00730313">
            <w:pPr>
              <w:spacing w:beforeAutospacing="1" w:afterAutospacing="1"/>
            </w:pPr>
            <w:r>
              <w:rPr>
                <w:color w:val="000000"/>
                <w:sz w:val="22"/>
              </w:rPr>
              <w:t>Public Facility or Infrastructure Activities for Low/Moderate Income Housing Benefit</w:t>
            </w:r>
          </w:p>
        </w:tc>
        <w:tc>
          <w:tcPr>
            <w:tcW w:w="0" w:type="auto"/>
            <w:vAlign w:val="center"/>
          </w:tcPr>
          <w:p w14:paraId="22014B09" w14:textId="77777777" w:rsidR="00E2285C" w:rsidRDefault="00730313">
            <w:pPr>
              <w:spacing w:beforeAutospacing="1" w:afterAutospacing="1"/>
            </w:pPr>
            <w:r>
              <w:rPr>
                <w:color w:val="000000"/>
                <w:sz w:val="22"/>
              </w:rPr>
              <w:t>Households Assisted</w:t>
            </w:r>
          </w:p>
        </w:tc>
        <w:tc>
          <w:tcPr>
            <w:tcW w:w="0" w:type="auto"/>
            <w:vAlign w:val="center"/>
          </w:tcPr>
          <w:p w14:paraId="26A86047" w14:textId="77777777" w:rsidR="00E2285C" w:rsidRDefault="00730313">
            <w:pPr>
              <w:spacing w:beforeAutospacing="1" w:afterAutospacing="1"/>
            </w:pPr>
            <w:r>
              <w:rPr>
                <w:color w:val="000000"/>
                <w:sz w:val="22"/>
              </w:rPr>
              <w:t>750</w:t>
            </w:r>
          </w:p>
        </w:tc>
        <w:tc>
          <w:tcPr>
            <w:tcW w:w="0" w:type="auto"/>
            <w:vAlign w:val="center"/>
          </w:tcPr>
          <w:p w14:paraId="24824CA0" w14:textId="77777777" w:rsidR="00E2285C" w:rsidRDefault="00730313">
            <w:pPr>
              <w:spacing w:beforeAutospacing="1" w:afterAutospacing="1"/>
            </w:pPr>
            <w:r>
              <w:rPr>
                <w:color w:val="000000"/>
                <w:sz w:val="22"/>
              </w:rPr>
              <w:t>255</w:t>
            </w:r>
          </w:p>
        </w:tc>
        <w:tc>
          <w:tcPr>
            <w:tcW w:w="0" w:type="auto"/>
            <w:vAlign w:val="center"/>
          </w:tcPr>
          <w:p w14:paraId="35C25EE2" w14:textId="77777777" w:rsidR="00E2285C" w:rsidRDefault="00730313">
            <w:pPr>
              <w:spacing w:beforeAutospacing="1" w:afterAutospacing="1"/>
            </w:pPr>
            <w:r>
              <w:rPr>
                <w:color w:val="000000"/>
                <w:sz w:val="22"/>
              </w:rPr>
              <w:t xml:space="preserve">        34.00%</w:t>
            </w:r>
          </w:p>
        </w:tc>
        <w:tc>
          <w:tcPr>
            <w:tcW w:w="0" w:type="auto"/>
            <w:vAlign w:val="center"/>
          </w:tcPr>
          <w:p w14:paraId="7CBEC5E3" w14:textId="77777777" w:rsidR="00E2285C" w:rsidRDefault="00730313">
            <w:pPr>
              <w:spacing w:beforeAutospacing="1" w:afterAutospacing="1"/>
            </w:pPr>
            <w:r>
              <w:rPr>
                <w:color w:val="000000"/>
                <w:sz w:val="22"/>
              </w:rPr>
              <w:t>1000</w:t>
            </w:r>
          </w:p>
        </w:tc>
        <w:tc>
          <w:tcPr>
            <w:tcW w:w="0" w:type="auto"/>
            <w:vAlign w:val="center"/>
          </w:tcPr>
          <w:p w14:paraId="3DBA81BD" w14:textId="77777777" w:rsidR="00E2285C" w:rsidRDefault="00730313">
            <w:pPr>
              <w:spacing w:beforeAutospacing="1" w:afterAutospacing="1"/>
            </w:pPr>
            <w:r>
              <w:rPr>
                <w:color w:val="000000"/>
                <w:sz w:val="22"/>
              </w:rPr>
              <w:t>72</w:t>
            </w:r>
          </w:p>
        </w:tc>
        <w:tc>
          <w:tcPr>
            <w:tcW w:w="0" w:type="auto"/>
            <w:vAlign w:val="center"/>
          </w:tcPr>
          <w:p w14:paraId="370FF545" w14:textId="77777777" w:rsidR="00E2285C" w:rsidRDefault="00730313">
            <w:pPr>
              <w:spacing w:beforeAutospacing="1" w:afterAutospacing="1"/>
            </w:pPr>
            <w:r>
              <w:rPr>
                <w:color w:val="000000"/>
                <w:sz w:val="22"/>
              </w:rPr>
              <w:t xml:space="preserve">         7.20%</w:t>
            </w:r>
          </w:p>
        </w:tc>
      </w:tr>
      <w:tr w:rsidR="00E2285C" w14:paraId="07FEAC9C" w14:textId="77777777">
        <w:trPr>
          <w:cantSplit/>
        </w:trPr>
        <w:tc>
          <w:tcPr>
            <w:tcW w:w="0" w:type="auto"/>
            <w:vAlign w:val="center"/>
          </w:tcPr>
          <w:p w14:paraId="30ABD3E5" w14:textId="77777777" w:rsidR="00E2285C" w:rsidRDefault="00730313">
            <w:pPr>
              <w:spacing w:beforeAutospacing="1" w:afterAutospacing="1"/>
            </w:pPr>
            <w:r>
              <w:rPr>
                <w:color w:val="000000"/>
                <w:sz w:val="22"/>
              </w:rPr>
              <w:t>Stabilize Neighborhoods</w:t>
            </w:r>
          </w:p>
        </w:tc>
        <w:tc>
          <w:tcPr>
            <w:tcW w:w="0" w:type="auto"/>
            <w:vAlign w:val="center"/>
          </w:tcPr>
          <w:p w14:paraId="4AECD46E" w14:textId="77777777" w:rsidR="00E2285C" w:rsidRDefault="00730313">
            <w:pPr>
              <w:spacing w:beforeAutospacing="1" w:afterAutospacing="1"/>
            </w:pPr>
            <w:r>
              <w:rPr>
                <w:color w:val="000000"/>
                <w:sz w:val="22"/>
              </w:rPr>
              <w:t>Affordable Housing</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14:paraId="7A9E4A70" w14:textId="77777777" w:rsidR="00E2285C" w:rsidRDefault="00730313">
            <w:pPr>
              <w:spacing w:beforeAutospacing="1" w:afterAutospacing="1"/>
            </w:pPr>
            <w:r>
              <w:rPr>
                <w:color w:val="000000"/>
                <w:sz w:val="22"/>
              </w:rPr>
              <w:t>CDBG: $</w:t>
            </w:r>
          </w:p>
        </w:tc>
        <w:tc>
          <w:tcPr>
            <w:tcW w:w="0" w:type="auto"/>
            <w:vAlign w:val="center"/>
          </w:tcPr>
          <w:p w14:paraId="259A99A9" w14:textId="77777777" w:rsidR="00E2285C" w:rsidRDefault="00730313">
            <w:pPr>
              <w:spacing w:beforeAutospacing="1" w:afterAutospacing="1"/>
            </w:pPr>
            <w:r>
              <w:rPr>
                <w:color w:val="000000"/>
                <w:sz w:val="22"/>
              </w:rPr>
              <w:t>Public service activities other than Low/Moderate Income Housing Benefit</w:t>
            </w:r>
          </w:p>
        </w:tc>
        <w:tc>
          <w:tcPr>
            <w:tcW w:w="0" w:type="auto"/>
            <w:vAlign w:val="center"/>
          </w:tcPr>
          <w:p w14:paraId="37059C52" w14:textId="77777777" w:rsidR="00E2285C" w:rsidRDefault="00730313">
            <w:pPr>
              <w:spacing w:beforeAutospacing="1" w:afterAutospacing="1"/>
            </w:pPr>
            <w:r>
              <w:rPr>
                <w:color w:val="000000"/>
                <w:sz w:val="22"/>
              </w:rPr>
              <w:t>Persons Assisted</w:t>
            </w:r>
          </w:p>
        </w:tc>
        <w:tc>
          <w:tcPr>
            <w:tcW w:w="0" w:type="auto"/>
            <w:vAlign w:val="center"/>
          </w:tcPr>
          <w:p w14:paraId="6D4ACAE8" w14:textId="77777777" w:rsidR="00E2285C" w:rsidRDefault="00730313">
            <w:pPr>
              <w:spacing w:beforeAutospacing="1" w:afterAutospacing="1"/>
            </w:pPr>
            <w:r>
              <w:rPr>
                <w:color w:val="000000"/>
                <w:sz w:val="22"/>
              </w:rPr>
              <w:t>410</w:t>
            </w:r>
          </w:p>
        </w:tc>
        <w:tc>
          <w:tcPr>
            <w:tcW w:w="0" w:type="auto"/>
            <w:vAlign w:val="center"/>
          </w:tcPr>
          <w:p w14:paraId="69570D4E" w14:textId="77777777" w:rsidR="00E2285C" w:rsidRDefault="00730313">
            <w:pPr>
              <w:spacing w:beforeAutospacing="1" w:afterAutospacing="1"/>
            </w:pPr>
            <w:r>
              <w:rPr>
                <w:color w:val="000000"/>
                <w:sz w:val="22"/>
              </w:rPr>
              <w:t>852</w:t>
            </w:r>
          </w:p>
        </w:tc>
        <w:tc>
          <w:tcPr>
            <w:tcW w:w="0" w:type="auto"/>
            <w:vAlign w:val="center"/>
          </w:tcPr>
          <w:p w14:paraId="4BA6603F" w14:textId="77777777" w:rsidR="00E2285C" w:rsidRDefault="00730313">
            <w:pPr>
              <w:spacing w:beforeAutospacing="1" w:afterAutospacing="1"/>
            </w:pPr>
            <w:r>
              <w:rPr>
                <w:color w:val="000000"/>
                <w:sz w:val="22"/>
              </w:rPr>
              <w:t xml:space="preserve">       207.80%</w:t>
            </w:r>
          </w:p>
        </w:tc>
        <w:tc>
          <w:tcPr>
            <w:tcW w:w="0" w:type="auto"/>
            <w:vAlign w:val="center"/>
          </w:tcPr>
          <w:p w14:paraId="48C734D7" w14:textId="77777777" w:rsidR="00E2285C" w:rsidRDefault="00730313">
            <w:pPr>
              <w:spacing w:beforeAutospacing="1" w:afterAutospacing="1"/>
            </w:pPr>
            <w:r>
              <w:rPr>
                <w:color w:val="000000"/>
                <w:sz w:val="22"/>
              </w:rPr>
              <w:t>160</w:t>
            </w:r>
          </w:p>
        </w:tc>
        <w:tc>
          <w:tcPr>
            <w:tcW w:w="0" w:type="auto"/>
            <w:vAlign w:val="center"/>
          </w:tcPr>
          <w:p w14:paraId="1D4301C9" w14:textId="77777777" w:rsidR="00E2285C" w:rsidRDefault="00730313">
            <w:pPr>
              <w:spacing w:beforeAutospacing="1" w:afterAutospacing="1"/>
            </w:pPr>
            <w:r>
              <w:rPr>
                <w:color w:val="000000"/>
                <w:sz w:val="22"/>
              </w:rPr>
              <w:t>310</w:t>
            </w:r>
          </w:p>
        </w:tc>
        <w:tc>
          <w:tcPr>
            <w:tcW w:w="0" w:type="auto"/>
            <w:vAlign w:val="center"/>
          </w:tcPr>
          <w:p w14:paraId="2EA84227" w14:textId="77777777" w:rsidR="00E2285C" w:rsidRDefault="00730313">
            <w:pPr>
              <w:spacing w:beforeAutospacing="1" w:afterAutospacing="1"/>
            </w:pPr>
            <w:r>
              <w:rPr>
                <w:color w:val="000000"/>
                <w:sz w:val="22"/>
              </w:rPr>
              <w:t xml:space="preserve">       193.75%</w:t>
            </w:r>
          </w:p>
        </w:tc>
      </w:tr>
      <w:tr w:rsidR="00E2285C" w14:paraId="00ED1FAF" w14:textId="77777777">
        <w:trPr>
          <w:cantSplit/>
        </w:trPr>
        <w:tc>
          <w:tcPr>
            <w:tcW w:w="0" w:type="auto"/>
            <w:vAlign w:val="center"/>
          </w:tcPr>
          <w:p w14:paraId="5030995D" w14:textId="77777777" w:rsidR="00E2285C" w:rsidRDefault="00730313">
            <w:pPr>
              <w:spacing w:beforeAutospacing="1" w:afterAutospacing="1"/>
            </w:pPr>
            <w:r>
              <w:rPr>
                <w:color w:val="000000"/>
                <w:sz w:val="22"/>
              </w:rPr>
              <w:t>Stabilize Neighborhoods</w:t>
            </w:r>
          </w:p>
        </w:tc>
        <w:tc>
          <w:tcPr>
            <w:tcW w:w="0" w:type="auto"/>
            <w:vAlign w:val="center"/>
          </w:tcPr>
          <w:p w14:paraId="73786391"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6C90A942" w14:textId="77777777" w:rsidR="00E2285C" w:rsidRDefault="00730313">
            <w:pPr>
              <w:spacing w:beforeAutospacing="1" w:afterAutospacing="1"/>
            </w:pPr>
            <w:r>
              <w:rPr>
                <w:color w:val="000000"/>
                <w:sz w:val="22"/>
              </w:rPr>
              <w:t>CDBG: $</w:t>
            </w:r>
          </w:p>
        </w:tc>
        <w:tc>
          <w:tcPr>
            <w:tcW w:w="0" w:type="auto"/>
            <w:vAlign w:val="center"/>
          </w:tcPr>
          <w:p w14:paraId="04BA4549" w14:textId="77777777" w:rsidR="00E2285C" w:rsidRDefault="00730313">
            <w:pPr>
              <w:spacing w:beforeAutospacing="1" w:afterAutospacing="1"/>
            </w:pPr>
            <w:r>
              <w:rPr>
                <w:color w:val="000000"/>
                <w:sz w:val="22"/>
              </w:rPr>
              <w:t>Brownfield acres remediated</w:t>
            </w:r>
          </w:p>
        </w:tc>
        <w:tc>
          <w:tcPr>
            <w:tcW w:w="0" w:type="auto"/>
            <w:vAlign w:val="center"/>
          </w:tcPr>
          <w:p w14:paraId="7900C22E" w14:textId="77777777" w:rsidR="00E2285C" w:rsidRDefault="00730313">
            <w:pPr>
              <w:spacing w:beforeAutospacing="1" w:afterAutospacing="1"/>
            </w:pPr>
            <w:r>
              <w:rPr>
                <w:color w:val="000000"/>
                <w:sz w:val="22"/>
              </w:rPr>
              <w:t>Acre</w:t>
            </w:r>
          </w:p>
        </w:tc>
        <w:tc>
          <w:tcPr>
            <w:tcW w:w="0" w:type="auto"/>
            <w:vAlign w:val="center"/>
          </w:tcPr>
          <w:p w14:paraId="2D26558C" w14:textId="77777777" w:rsidR="00E2285C" w:rsidRDefault="00730313">
            <w:pPr>
              <w:spacing w:beforeAutospacing="1" w:afterAutospacing="1"/>
            </w:pPr>
            <w:r>
              <w:rPr>
                <w:color w:val="000000"/>
                <w:sz w:val="22"/>
              </w:rPr>
              <w:t>1</w:t>
            </w:r>
          </w:p>
        </w:tc>
        <w:tc>
          <w:tcPr>
            <w:tcW w:w="0" w:type="auto"/>
            <w:vAlign w:val="center"/>
          </w:tcPr>
          <w:p w14:paraId="32ACB8FF" w14:textId="77777777" w:rsidR="00E2285C" w:rsidRDefault="00730313">
            <w:pPr>
              <w:spacing w:beforeAutospacing="1" w:afterAutospacing="1"/>
            </w:pPr>
            <w:r>
              <w:rPr>
                <w:color w:val="000000"/>
                <w:sz w:val="22"/>
              </w:rPr>
              <w:t>1</w:t>
            </w:r>
          </w:p>
        </w:tc>
        <w:tc>
          <w:tcPr>
            <w:tcW w:w="0" w:type="auto"/>
            <w:vAlign w:val="center"/>
          </w:tcPr>
          <w:p w14:paraId="2741E003" w14:textId="77777777" w:rsidR="00E2285C" w:rsidRDefault="00730313">
            <w:pPr>
              <w:spacing w:beforeAutospacing="1" w:afterAutospacing="1"/>
            </w:pPr>
            <w:r>
              <w:rPr>
                <w:color w:val="000000"/>
                <w:sz w:val="22"/>
              </w:rPr>
              <w:t xml:space="preserve">       100.00%</w:t>
            </w:r>
          </w:p>
        </w:tc>
        <w:tc>
          <w:tcPr>
            <w:tcW w:w="0" w:type="auto"/>
            <w:vAlign w:val="center"/>
          </w:tcPr>
          <w:p w14:paraId="253B909C" w14:textId="77777777" w:rsidR="00E2285C" w:rsidRDefault="00730313">
            <w:pPr>
              <w:spacing w:beforeAutospacing="1" w:afterAutospacing="1"/>
            </w:pPr>
            <w:r>
              <w:rPr>
                <w:color w:val="000000"/>
                <w:sz w:val="22"/>
              </w:rPr>
              <w:t xml:space="preserve"> </w:t>
            </w:r>
          </w:p>
        </w:tc>
        <w:tc>
          <w:tcPr>
            <w:tcW w:w="0" w:type="auto"/>
            <w:vAlign w:val="center"/>
          </w:tcPr>
          <w:p w14:paraId="79276904" w14:textId="77777777" w:rsidR="00E2285C" w:rsidRDefault="00730313">
            <w:pPr>
              <w:spacing w:beforeAutospacing="1" w:afterAutospacing="1"/>
            </w:pPr>
            <w:r>
              <w:rPr>
                <w:color w:val="000000"/>
                <w:sz w:val="22"/>
              </w:rPr>
              <w:t xml:space="preserve"> </w:t>
            </w:r>
          </w:p>
        </w:tc>
        <w:tc>
          <w:tcPr>
            <w:tcW w:w="0" w:type="auto"/>
            <w:vAlign w:val="center"/>
          </w:tcPr>
          <w:p w14:paraId="77F4AF11" w14:textId="77777777" w:rsidR="00E2285C" w:rsidRDefault="00730313">
            <w:pPr>
              <w:spacing w:beforeAutospacing="1" w:afterAutospacing="1"/>
            </w:pPr>
            <w:r>
              <w:rPr>
                <w:color w:val="000000"/>
                <w:sz w:val="22"/>
              </w:rPr>
              <w:t xml:space="preserve"> </w:t>
            </w:r>
          </w:p>
        </w:tc>
      </w:tr>
      <w:tr w:rsidR="00E2285C" w14:paraId="2C03EE5B" w14:textId="77777777">
        <w:trPr>
          <w:cantSplit/>
        </w:trPr>
        <w:tc>
          <w:tcPr>
            <w:tcW w:w="0" w:type="auto"/>
            <w:vAlign w:val="center"/>
          </w:tcPr>
          <w:p w14:paraId="23E51D78" w14:textId="77777777" w:rsidR="00E2285C" w:rsidRDefault="00730313">
            <w:pPr>
              <w:spacing w:beforeAutospacing="1" w:afterAutospacing="1"/>
            </w:pPr>
            <w:r>
              <w:rPr>
                <w:color w:val="000000"/>
                <w:sz w:val="22"/>
              </w:rPr>
              <w:lastRenderedPageBreak/>
              <w:t>Stabilize Neighborhoods</w:t>
            </w:r>
          </w:p>
        </w:tc>
        <w:tc>
          <w:tcPr>
            <w:tcW w:w="0" w:type="auto"/>
            <w:vAlign w:val="center"/>
          </w:tcPr>
          <w:p w14:paraId="27A85478"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7FBD56B2" w14:textId="77777777" w:rsidR="00E2285C" w:rsidRDefault="00730313">
            <w:pPr>
              <w:spacing w:beforeAutospacing="1" w:afterAutospacing="1"/>
            </w:pPr>
            <w:r>
              <w:rPr>
                <w:color w:val="000000"/>
                <w:sz w:val="22"/>
              </w:rPr>
              <w:t>CDBG: $</w:t>
            </w:r>
          </w:p>
        </w:tc>
        <w:tc>
          <w:tcPr>
            <w:tcW w:w="0" w:type="auto"/>
            <w:vAlign w:val="center"/>
          </w:tcPr>
          <w:p w14:paraId="1DB3DDB8" w14:textId="77777777" w:rsidR="00E2285C" w:rsidRDefault="00730313">
            <w:pPr>
              <w:spacing w:beforeAutospacing="1" w:afterAutospacing="1"/>
            </w:pPr>
            <w:r>
              <w:rPr>
                <w:color w:val="000000"/>
                <w:sz w:val="22"/>
              </w:rPr>
              <w:t>Direct Financial Assistance to Homebuyers</w:t>
            </w:r>
          </w:p>
        </w:tc>
        <w:tc>
          <w:tcPr>
            <w:tcW w:w="0" w:type="auto"/>
            <w:vAlign w:val="center"/>
          </w:tcPr>
          <w:p w14:paraId="184D9F0F" w14:textId="77777777" w:rsidR="00E2285C" w:rsidRDefault="00730313">
            <w:pPr>
              <w:spacing w:beforeAutospacing="1" w:afterAutospacing="1"/>
            </w:pPr>
            <w:r>
              <w:rPr>
                <w:color w:val="000000"/>
                <w:sz w:val="22"/>
              </w:rPr>
              <w:t>Households Assisted</w:t>
            </w:r>
          </w:p>
        </w:tc>
        <w:tc>
          <w:tcPr>
            <w:tcW w:w="0" w:type="auto"/>
            <w:vAlign w:val="center"/>
          </w:tcPr>
          <w:p w14:paraId="74DBB34D" w14:textId="77777777" w:rsidR="00E2285C" w:rsidRDefault="00730313">
            <w:pPr>
              <w:spacing w:beforeAutospacing="1" w:afterAutospacing="1"/>
            </w:pPr>
            <w:r>
              <w:rPr>
                <w:color w:val="000000"/>
                <w:sz w:val="22"/>
              </w:rPr>
              <w:t>62</w:t>
            </w:r>
          </w:p>
        </w:tc>
        <w:tc>
          <w:tcPr>
            <w:tcW w:w="0" w:type="auto"/>
            <w:vAlign w:val="center"/>
          </w:tcPr>
          <w:p w14:paraId="2B7A7B4C" w14:textId="77777777" w:rsidR="00E2285C" w:rsidRDefault="00730313">
            <w:pPr>
              <w:spacing w:beforeAutospacing="1" w:afterAutospacing="1"/>
            </w:pPr>
            <w:r>
              <w:rPr>
                <w:color w:val="000000"/>
                <w:sz w:val="22"/>
              </w:rPr>
              <w:t>11</w:t>
            </w:r>
          </w:p>
        </w:tc>
        <w:tc>
          <w:tcPr>
            <w:tcW w:w="0" w:type="auto"/>
            <w:vAlign w:val="center"/>
          </w:tcPr>
          <w:p w14:paraId="14D8E2DC" w14:textId="77777777" w:rsidR="00E2285C" w:rsidRDefault="00730313">
            <w:pPr>
              <w:spacing w:beforeAutospacing="1" w:afterAutospacing="1"/>
            </w:pPr>
            <w:r>
              <w:rPr>
                <w:color w:val="000000"/>
                <w:sz w:val="22"/>
              </w:rPr>
              <w:t xml:space="preserve">        17.74%</w:t>
            </w:r>
          </w:p>
        </w:tc>
        <w:tc>
          <w:tcPr>
            <w:tcW w:w="0" w:type="auto"/>
            <w:vAlign w:val="center"/>
          </w:tcPr>
          <w:p w14:paraId="5F83DA00" w14:textId="77777777" w:rsidR="00E2285C" w:rsidRDefault="00730313">
            <w:pPr>
              <w:spacing w:beforeAutospacing="1" w:afterAutospacing="1"/>
            </w:pPr>
            <w:r>
              <w:rPr>
                <w:color w:val="000000"/>
                <w:sz w:val="22"/>
              </w:rPr>
              <w:t xml:space="preserve"> </w:t>
            </w:r>
          </w:p>
        </w:tc>
        <w:tc>
          <w:tcPr>
            <w:tcW w:w="0" w:type="auto"/>
            <w:vAlign w:val="center"/>
          </w:tcPr>
          <w:p w14:paraId="604F2829" w14:textId="77777777" w:rsidR="00E2285C" w:rsidRDefault="00730313">
            <w:pPr>
              <w:spacing w:beforeAutospacing="1" w:afterAutospacing="1"/>
            </w:pPr>
            <w:r>
              <w:rPr>
                <w:color w:val="000000"/>
                <w:sz w:val="22"/>
              </w:rPr>
              <w:t xml:space="preserve"> </w:t>
            </w:r>
          </w:p>
        </w:tc>
        <w:tc>
          <w:tcPr>
            <w:tcW w:w="0" w:type="auto"/>
            <w:vAlign w:val="center"/>
          </w:tcPr>
          <w:p w14:paraId="57C497E4" w14:textId="77777777" w:rsidR="00E2285C" w:rsidRDefault="00730313">
            <w:pPr>
              <w:spacing w:beforeAutospacing="1" w:afterAutospacing="1"/>
            </w:pPr>
            <w:r>
              <w:rPr>
                <w:color w:val="000000"/>
                <w:sz w:val="22"/>
              </w:rPr>
              <w:t xml:space="preserve"> </w:t>
            </w:r>
          </w:p>
        </w:tc>
      </w:tr>
      <w:tr w:rsidR="00E2285C" w14:paraId="0DAFC813" w14:textId="77777777">
        <w:trPr>
          <w:cantSplit/>
        </w:trPr>
        <w:tc>
          <w:tcPr>
            <w:tcW w:w="0" w:type="auto"/>
            <w:vAlign w:val="center"/>
          </w:tcPr>
          <w:p w14:paraId="2DDBDB72" w14:textId="77777777" w:rsidR="00E2285C" w:rsidRDefault="00730313">
            <w:pPr>
              <w:spacing w:beforeAutospacing="1" w:afterAutospacing="1"/>
            </w:pPr>
            <w:r>
              <w:rPr>
                <w:color w:val="000000"/>
                <w:sz w:val="22"/>
              </w:rPr>
              <w:t>Stabilize Neighborhoods</w:t>
            </w:r>
          </w:p>
        </w:tc>
        <w:tc>
          <w:tcPr>
            <w:tcW w:w="0" w:type="auto"/>
            <w:vAlign w:val="center"/>
          </w:tcPr>
          <w:p w14:paraId="667E7BB4"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1D5C99AF" w14:textId="77777777" w:rsidR="00E2285C" w:rsidRDefault="00730313">
            <w:pPr>
              <w:spacing w:beforeAutospacing="1" w:afterAutospacing="1"/>
            </w:pPr>
            <w:r>
              <w:rPr>
                <w:color w:val="000000"/>
                <w:sz w:val="22"/>
              </w:rPr>
              <w:t>CDBG: $</w:t>
            </w:r>
          </w:p>
        </w:tc>
        <w:tc>
          <w:tcPr>
            <w:tcW w:w="0" w:type="auto"/>
            <w:vAlign w:val="center"/>
          </w:tcPr>
          <w:p w14:paraId="04809AA1" w14:textId="77777777" w:rsidR="00E2285C" w:rsidRDefault="00730313">
            <w:pPr>
              <w:spacing w:beforeAutospacing="1" w:afterAutospacing="1"/>
            </w:pPr>
            <w:r>
              <w:rPr>
                <w:color w:val="000000"/>
                <w:sz w:val="22"/>
              </w:rPr>
              <w:t>Homeless Person Overnight Shelter</w:t>
            </w:r>
          </w:p>
        </w:tc>
        <w:tc>
          <w:tcPr>
            <w:tcW w:w="0" w:type="auto"/>
            <w:vAlign w:val="center"/>
          </w:tcPr>
          <w:p w14:paraId="54B8D3FA" w14:textId="77777777" w:rsidR="00E2285C" w:rsidRDefault="00730313">
            <w:pPr>
              <w:spacing w:beforeAutospacing="1" w:afterAutospacing="1"/>
            </w:pPr>
            <w:r>
              <w:rPr>
                <w:color w:val="000000"/>
                <w:sz w:val="22"/>
              </w:rPr>
              <w:t>Persons Assisted</w:t>
            </w:r>
          </w:p>
        </w:tc>
        <w:tc>
          <w:tcPr>
            <w:tcW w:w="0" w:type="auto"/>
            <w:vAlign w:val="center"/>
          </w:tcPr>
          <w:p w14:paraId="51A8EE38" w14:textId="77777777" w:rsidR="00E2285C" w:rsidRDefault="00730313">
            <w:pPr>
              <w:spacing w:beforeAutospacing="1" w:afterAutospacing="1"/>
            </w:pPr>
            <w:r>
              <w:rPr>
                <w:color w:val="000000"/>
                <w:sz w:val="22"/>
              </w:rPr>
              <w:t>0</w:t>
            </w:r>
          </w:p>
        </w:tc>
        <w:tc>
          <w:tcPr>
            <w:tcW w:w="0" w:type="auto"/>
            <w:vAlign w:val="center"/>
          </w:tcPr>
          <w:p w14:paraId="58C7B05C" w14:textId="77777777" w:rsidR="00E2285C" w:rsidRDefault="00730313">
            <w:pPr>
              <w:spacing w:beforeAutospacing="1" w:afterAutospacing="1"/>
            </w:pPr>
            <w:r>
              <w:rPr>
                <w:color w:val="000000"/>
                <w:sz w:val="22"/>
              </w:rPr>
              <w:t>0</w:t>
            </w:r>
          </w:p>
        </w:tc>
        <w:tc>
          <w:tcPr>
            <w:tcW w:w="0" w:type="auto"/>
            <w:vAlign w:val="center"/>
          </w:tcPr>
          <w:p w14:paraId="7FC5A757" w14:textId="77777777" w:rsidR="00E2285C" w:rsidRDefault="00730313">
            <w:pPr>
              <w:spacing w:beforeAutospacing="1" w:afterAutospacing="1"/>
            </w:pPr>
            <w:r>
              <w:rPr>
                <w:color w:val="000000"/>
                <w:sz w:val="22"/>
              </w:rPr>
              <w:t xml:space="preserve"> </w:t>
            </w:r>
          </w:p>
        </w:tc>
        <w:tc>
          <w:tcPr>
            <w:tcW w:w="0" w:type="auto"/>
            <w:vAlign w:val="center"/>
          </w:tcPr>
          <w:p w14:paraId="5CB1A05A" w14:textId="77777777" w:rsidR="00E2285C" w:rsidRDefault="00730313">
            <w:pPr>
              <w:spacing w:beforeAutospacing="1" w:afterAutospacing="1"/>
            </w:pPr>
            <w:r>
              <w:rPr>
                <w:color w:val="000000"/>
                <w:sz w:val="22"/>
              </w:rPr>
              <w:t xml:space="preserve"> </w:t>
            </w:r>
          </w:p>
        </w:tc>
        <w:tc>
          <w:tcPr>
            <w:tcW w:w="0" w:type="auto"/>
            <w:vAlign w:val="center"/>
          </w:tcPr>
          <w:p w14:paraId="25617E54" w14:textId="77777777" w:rsidR="00E2285C" w:rsidRDefault="00730313">
            <w:pPr>
              <w:spacing w:beforeAutospacing="1" w:afterAutospacing="1"/>
            </w:pPr>
            <w:r>
              <w:rPr>
                <w:color w:val="000000"/>
                <w:sz w:val="22"/>
              </w:rPr>
              <w:t xml:space="preserve"> </w:t>
            </w:r>
          </w:p>
        </w:tc>
        <w:tc>
          <w:tcPr>
            <w:tcW w:w="0" w:type="auto"/>
            <w:vAlign w:val="center"/>
          </w:tcPr>
          <w:p w14:paraId="283829FE" w14:textId="77777777" w:rsidR="00E2285C" w:rsidRDefault="00730313">
            <w:pPr>
              <w:spacing w:beforeAutospacing="1" w:afterAutospacing="1"/>
            </w:pPr>
            <w:r>
              <w:rPr>
                <w:color w:val="000000"/>
                <w:sz w:val="22"/>
              </w:rPr>
              <w:t xml:space="preserve"> </w:t>
            </w:r>
          </w:p>
        </w:tc>
      </w:tr>
      <w:tr w:rsidR="00E2285C" w14:paraId="6A04B61B" w14:textId="77777777">
        <w:trPr>
          <w:cantSplit/>
        </w:trPr>
        <w:tc>
          <w:tcPr>
            <w:tcW w:w="0" w:type="auto"/>
            <w:vAlign w:val="center"/>
          </w:tcPr>
          <w:p w14:paraId="2B9B295D" w14:textId="77777777" w:rsidR="00E2285C" w:rsidRDefault="00730313">
            <w:pPr>
              <w:spacing w:beforeAutospacing="1" w:afterAutospacing="1"/>
            </w:pPr>
            <w:r>
              <w:rPr>
                <w:color w:val="000000"/>
                <w:sz w:val="22"/>
              </w:rPr>
              <w:t>Stabilize Neighborhoods</w:t>
            </w:r>
          </w:p>
        </w:tc>
        <w:tc>
          <w:tcPr>
            <w:tcW w:w="0" w:type="auto"/>
            <w:vAlign w:val="center"/>
          </w:tcPr>
          <w:p w14:paraId="7A8EB1EB"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4F4C7C1B" w14:textId="77777777" w:rsidR="00E2285C" w:rsidRDefault="00730313">
            <w:pPr>
              <w:spacing w:beforeAutospacing="1" w:afterAutospacing="1"/>
            </w:pPr>
            <w:r>
              <w:rPr>
                <w:color w:val="000000"/>
                <w:sz w:val="22"/>
              </w:rPr>
              <w:t>CDBG: $</w:t>
            </w:r>
          </w:p>
        </w:tc>
        <w:tc>
          <w:tcPr>
            <w:tcW w:w="0" w:type="auto"/>
            <w:vAlign w:val="center"/>
          </w:tcPr>
          <w:p w14:paraId="4441FBD7" w14:textId="77777777" w:rsidR="00E2285C" w:rsidRDefault="00730313">
            <w:pPr>
              <w:spacing w:beforeAutospacing="1" w:afterAutospacing="1"/>
            </w:pPr>
            <w:r>
              <w:rPr>
                <w:color w:val="000000"/>
                <w:sz w:val="22"/>
              </w:rPr>
              <w:t>Overnight/Emergency Shelter/Transitional Housing Beds added</w:t>
            </w:r>
          </w:p>
        </w:tc>
        <w:tc>
          <w:tcPr>
            <w:tcW w:w="0" w:type="auto"/>
            <w:vAlign w:val="center"/>
          </w:tcPr>
          <w:p w14:paraId="32672D64" w14:textId="77777777" w:rsidR="00E2285C" w:rsidRDefault="00730313">
            <w:pPr>
              <w:spacing w:beforeAutospacing="1" w:afterAutospacing="1"/>
            </w:pPr>
            <w:r>
              <w:rPr>
                <w:color w:val="000000"/>
                <w:sz w:val="22"/>
              </w:rPr>
              <w:t>Beds</w:t>
            </w:r>
          </w:p>
        </w:tc>
        <w:tc>
          <w:tcPr>
            <w:tcW w:w="0" w:type="auto"/>
            <w:vAlign w:val="center"/>
          </w:tcPr>
          <w:p w14:paraId="3B451757" w14:textId="77777777" w:rsidR="00E2285C" w:rsidRDefault="00730313">
            <w:pPr>
              <w:spacing w:beforeAutospacing="1" w:afterAutospacing="1"/>
            </w:pPr>
            <w:r>
              <w:rPr>
                <w:color w:val="000000"/>
                <w:sz w:val="22"/>
              </w:rPr>
              <w:t>0</w:t>
            </w:r>
          </w:p>
        </w:tc>
        <w:tc>
          <w:tcPr>
            <w:tcW w:w="0" w:type="auto"/>
            <w:vAlign w:val="center"/>
          </w:tcPr>
          <w:p w14:paraId="649D3F6B" w14:textId="77777777" w:rsidR="00E2285C" w:rsidRDefault="00730313">
            <w:pPr>
              <w:spacing w:beforeAutospacing="1" w:afterAutospacing="1"/>
            </w:pPr>
            <w:r>
              <w:rPr>
                <w:color w:val="000000"/>
                <w:sz w:val="22"/>
              </w:rPr>
              <w:t>0</w:t>
            </w:r>
          </w:p>
        </w:tc>
        <w:tc>
          <w:tcPr>
            <w:tcW w:w="0" w:type="auto"/>
            <w:vAlign w:val="center"/>
          </w:tcPr>
          <w:p w14:paraId="7F96CB67" w14:textId="77777777" w:rsidR="00E2285C" w:rsidRDefault="00730313">
            <w:pPr>
              <w:spacing w:beforeAutospacing="1" w:afterAutospacing="1"/>
            </w:pPr>
            <w:r>
              <w:rPr>
                <w:color w:val="000000"/>
                <w:sz w:val="22"/>
              </w:rPr>
              <w:t xml:space="preserve"> </w:t>
            </w:r>
          </w:p>
        </w:tc>
        <w:tc>
          <w:tcPr>
            <w:tcW w:w="0" w:type="auto"/>
            <w:vAlign w:val="center"/>
          </w:tcPr>
          <w:p w14:paraId="57061EF6" w14:textId="77777777" w:rsidR="00E2285C" w:rsidRDefault="00730313">
            <w:pPr>
              <w:spacing w:beforeAutospacing="1" w:afterAutospacing="1"/>
            </w:pPr>
            <w:r>
              <w:rPr>
                <w:color w:val="000000"/>
                <w:sz w:val="22"/>
              </w:rPr>
              <w:t xml:space="preserve"> </w:t>
            </w:r>
          </w:p>
        </w:tc>
        <w:tc>
          <w:tcPr>
            <w:tcW w:w="0" w:type="auto"/>
            <w:vAlign w:val="center"/>
          </w:tcPr>
          <w:p w14:paraId="20DE969D" w14:textId="77777777" w:rsidR="00E2285C" w:rsidRDefault="00730313">
            <w:pPr>
              <w:spacing w:beforeAutospacing="1" w:afterAutospacing="1"/>
            </w:pPr>
            <w:r>
              <w:rPr>
                <w:color w:val="000000"/>
                <w:sz w:val="22"/>
              </w:rPr>
              <w:t xml:space="preserve"> </w:t>
            </w:r>
          </w:p>
        </w:tc>
        <w:tc>
          <w:tcPr>
            <w:tcW w:w="0" w:type="auto"/>
            <w:vAlign w:val="center"/>
          </w:tcPr>
          <w:p w14:paraId="1644D74F" w14:textId="77777777" w:rsidR="00E2285C" w:rsidRDefault="00730313">
            <w:pPr>
              <w:spacing w:beforeAutospacing="1" w:afterAutospacing="1"/>
            </w:pPr>
            <w:r>
              <w:rPr>
                <w:color w:val="000000"/>
                <w:sz w:val="22"/>
              </w:rPr>
              <w:t xml:space="preserve"> </w:t>
            </w:r>
          </w:p>
        </w:tc>
      </w:tr>
      <w:tr w:rsidR="00E2285C" w14:paraId="0CDF50B4" w14:textId="77777777">
        <w:trPr>
          <w:cantSplit/>
        </w:trPr>
        <w:tc>
          <w:tcPr>
            <w:tcW w:w="0" w:type="auto"/>
            <w:vAlign w:val="center"/>
          </w:tcPr>
          <w:p w14:paraId="51CB23CB" w14:textId="77777777" w:rsidR="00E2285C" w:rsidRDefault="00730313">
            <w:pPr>
              <w:spacing w:beforeAutospacing="1" w:afterAutospacing="1"/>
            </w:pPr>
            <w:r>
              <w:rPr>
                <w:color w:val="000000"/>
                <w:sz w:val="22"/>
              </w:rPr>
              <w:lastRenderedPageBreak/>
              <w:t>Stabilize Neighborhoods</w:t>
            </w:r>
          </w:p>
        </w:tc>
        <w:tc>
          <w:tcPr>
            <w:tcW w:w="0" w:type="auto"/>
            <w:vAlign w:val="center"/>
          </w:tcPr>
          <w:p w14:paraId="7928F17E"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32C56B4E" w14:textId="77777777" w:rsidR="00E2285C" w:rsidRDefault="00730313">
            <w:pPr>
              <w:spacing w:beforeAutospacing="1" w:afterAutospacing="1"/>
            </w:pPr>
            <w:r>
              <w:rPr>
                <w:color w:val="000000"/>
                <w:sz w:val="22"/>
              </w:rPr>
              <w:t>CDBG: $</w:t>
            </w:r>
          </w:p>
        </w:tc>
        <w:tc>
          <w:tcPr>
            <w:tcW w:w="0" w:type="auto"/>
            <w:vAlign w:val="center"/>
          </w:tcPr>
          <w:p w14:paraId="5AB264FA" w14:textId="77777777" w:rsidR="00E2285C" w:rsidRDefault="00730313">
            <w:pPr>
              <w:spacing w:beforeAutospacing="1" w:afterAutospacing="1"/>
            </w:pPr>
            <w:r>
              <w:rPr>
                <w:color w:val="000000"/>
                <w:sz w:val="22"/>
              </w:rPr>
              <w:t>Homelessness Prevention</w:t>
            </w:r>
          </w:p>
        </w:tc>
        <w:tc>
          <w:tcPr>
            <w:tcW w:w="0" w:type="auto"/>
            <w:vAlign w:val="center"/>
          </w:tcPr>
          <w:p w14:paraId="08D8BC44" w14:textId="77777777" w:rsidR="00E2285C" w:rsidRDefault="00730313">
            <w:pPr>
              <w:spacing w:beforeAutospacing="1" w:afterAutospacing="1"/>
            </w:pPr>
            <w:r>
              <w:rPr>
                <w:color w:val="000000"/>
                <w:sz w:val="22"/>
              </w:rPr>
              <w:t>Persons Assisted</w:t>
            </w:r>
          </w:p>
        </w:tc>
        <w:tc>
          <w:tcPr>
            <w:tcW w:w="0" w:type="auto"/>
            <w:vAlign w:val="center"/>
          </w:tcPr>
          <w:p w14:paraId="7DBB3053" w14:textId="77777777" w:rsidR="00E2285C" w:rsidRDefault="00730313">
            <w:pPr>
              <w:spacing w:beforeAutospacing="1" w:afterAutospacing="1"/>
            </w:pPr>
            <w:r>
              <w:rPr>
                <w:color w:val="000000"/>
                <w:sz w:val="22"/>
              </w:rPr>
              <w:t>100</w:t>
            </w:r>
          </w:p>
        </w:tc>
        <w:tc>
          <w:tcPr>
            <w:tcW w:w="0" w:type="auto"/>
            <w:vAlign w:val="center"/>
          </w:tcPr>
          <w:p w14:paraId="1139E621" w14:textId="77777777" w:rsidR="00E2285C" w:rsidRDefault="00730313">
            <w:pPr>
              <w:spacing w:beforeAutospacing="1" w:afterAutospacing="1"/>
            </w:pPr>
            <w:r>
              <w:rPr>
                <w:color w:val="000000"/>
                <w:sz w:val="22"/>
              </w:rPr>
              <w:t>97</w:t>
            </w:r>
          </w:p>
        </w:tc>
        <w:tc>
          <w:tcPr>
            <w:tcW w:w="0" w:type="auto"/>
            <w:vAlign w:val="center"/>
          </w:tcPr>
          <w:p w14:paraId="753E2AC5" w14:textId="77777777" w:rsidR="00E2285C" w:rsidRDefault="00730313">
            <w:pPr>
              <w:spacing w:beforeAutospacing="1" w:afterAutospacing="1"/>
            </w:pPr>
            <w:r>
              <w:rPr>
                <w:color w:val="000000"/>
                <w:sz w:val="22"/>
              </w:rPr>
              <w:t xml:space="preserve">        97.00%</w:t>
            </w:r>
          </w:p>
        </w:tc>
        <w:tc>
          <w:tcPr>
            <w:tcW w:w="0" w:type="auto"/>
            <w:vAlign w:val="center"/>
          </w:tcPr>
          <w:p w14:paraId="6CFBBCE7" w14:textId="77777777" w:rsidR="00E2285C" w:rsidRDefault="00730313">
            <w:pPr>
              <w:spacing w:beforeAutospacing="1" w:afterAutospacing="1"/>
            </w:pPr>
            <w:r>
              <w:rPr>
                <w:color w:val="000000"/>
                <w:sz w:val="22"/>
              </w:rPr>
              <w:t xml:space="preserve"> </w:t>
            </w:r>
          </w:p>
        </w:tc>
        <w:tc>
          <w:tcPr>
            <w:tcW w:w="0" w:type="auto"/>
            <w:vAlign w:val="center"/>
          </w:tcPr>
          <w:p w14:paraId="108AD525" w14:textId="77777777" w:rsidR="00E2285C" w:rsidRDefault="00730313">
            <w:pPr>
              <w:spacing w:beforeAutospacing="1" w:afterAutospacing="1"/>
            </w:pPr>
            <w:r>
              <w:rPr>
                <w:color w:val="000000"/>
                <w:sz w:val="22"/>
              </w:rPr>
              <w:t xml:space="preserve"> </w:t>
            </w:r>
          </w:p>
        </w:tc>
        <w:tc>
          <w:tcPr>
            <w:tcW w:w="0" w:type="auto"/>
            <w:vAlign w:val="center"/>
          </w:tcPr>
          <w:p w14:paraId="391F9D38" w14:textId="77777777" w:rsidR="00E2285C" w:rsidRDefault="00730313">
            <w:pPr>
              <w:spacing w:beforeAutospacing="1" w:afterAutospacing="1"/>
            </w:pPr>
            <w:r>
              <w:rPr>
                <w:color w:val="000000"/>
                <w:sz w:val="22"/>
              </w:rPr>
              <w:t xml:space="preserve"> </w:t>
            </w:r>
          </w:p>
        </w:tc>
      </w:tr>
      <w:tr w:rsidR="00E2285C" w14:paraId="3F0621DA" w14:textId="77777777">
        <w:trPr>
          <w:cantSplit/>
        </w:trPr>
        <w:tc>
          <w:tcPr>
            <w:tcW w:w="0" w:type="auto"/>
            <w:vAlign w:val="center"/>
          </w:tcPr>
          <w:p w14:paraId="6E27B752" w14:textId="77777777" w:rsidR="00E2285C" w:rsidRDefault="00730313">
            <w:pPr>
              <w:spacing w:beforeAutospacing="1" w:afterAutospacing="1"/>
            </w:pPr>
            <w:r>
              <w:rPr>
                <w:color w:val="000000"/>
                <w:sz w:val="22"/>
              </w:rPr>
              <w:t>Stabilize Neighborhoods</w:t>
            </w:r>
          </w:p>
        </w:tc>
        <w:tc>
          <w:tcPr>
            <w:tcW w:w="0" w:type="auto"/>
            <w:vAlign w:val="center"/>
          </w:tcPr>
          <w:p w14:paraId="04B0ABE5" w14:textId="77777777" w:rsidR="00E2285C" w:rsidRDefault="00730313">
            <w:pPr>
              <w:spacing w:beforeAutospacing="1" w:afterAutospacing="1"/>
            </w:pPr>
            <w:r>
              <w:rPr>
                <w:color w:val="000000"/>
                <w:sz w:val="22"/>
              </w:rPr>
              <w:t>Affordable Housing</w:t>
            </w:r>
            <w:r>
              <w:rPr>
                <w:color w:val="000000"/>
                <w:sz w:val="22"/>
              </w:rPr>
              <w:br/>
            </w:r>
            <w:r>
              <w:rPr>
                <w:color w:val="000000"/>
                <w:sz w:val="22"/>
              </w:rPr>
              <w:t>Non-Homeless Special Needs</w:t>
            </w:r>
            <w:r>
              <w:rPr>
                <w:color w:val="000000"/>
                <w:sz w:val="22"/>
              </w:rPr>
              <w:br/>
              <w:t>Non-Housing Community Development</w:t>
            </w:r>
          </w:p>
        </w:tc>
        <w:tc>
          <w:tcPr>
            <w:tcW w:w="0" w:type="auto"/>
            <w:vAlign w:val="center"/>
          </w:tcPr>
          <w:p w14:paraId="08BF2146" w14:textId="77777777" w:rsidR="00E2285C" w:rsidRDefault="00730313">
            <w:pPr>
              <w:spacing w:beforeAutospacing="1" w:afterAutospacing="1"/>
            </w:pPr>
            <w:r>
              <w:rPr>
                <w:color w:val="000000"/>
                <w:sz w:val="22"/>
              </w:rPr>
              <w:t>CDBG: $</w:t>
            </w:r>
          </w:p>
        </w:tc>
        <w:tc>
          <w:tcPr>
            <w:tcW w:w="0" w:type="auto"/>
            <w:vAlign w:val="center"/>
          </w:tcPr>
          <w:p w14:paraId="276C2CEF" w14:textId="77777777" w:rsidR="00E2285C" w:rsidRDefault="00730313">
            <w:pPr>
              <w:spacing w:beforeAutospacing="1" w:afterAutospacing="1"/>
            </w:pPr>
            <w:r>
              <w:rPr>
                <w:color w:val="000000"/>
                <w:sz w:val="22"/>
              </w:rPr>
              <w:t>Buildings Demolished</w:t>
            </w:r>
          </w:p>
        </w:tc>
        <w:tc>
          <w:tcPr>
            <w:tcW w:w="0" w:type="auto"/>
            <w:vAlign w:val="center"/>
          </w:tcPr>
          <w:p w14:paraId="7C0490A2" w14:textId="77777777" w:rsidR="00E2285C" w:rsidRDefault="00730313">
            <w:pPr>
              <w:spacing w:beforeAutospacing="1" w:afterAutospacing="1"/>
            </w:pPr>
            <w:r>
              <w:rPr>
                <w:color w:val="000000"/>
                <w:sz w:val="22"/>
              </w:rPr>
              <w:t>Buildings</w:t>
            </w:r>
          </w:p>
        </w:tc>
        <w:tc>
          <w:tcPr>
            <w:tcW w:w="0" w:type="auto"/>
            <w:vAlign w:val="center"/>
          </w:tcPr>
          <w:p w14:paraId="562D7F73" w14:textId="77777777" w:rsidR="00E2285C" w:rsidRDefault="00730313">
            <w:pPr>
              <w:spacing w:beforeAutospacing="1" w:afterAutospacing="1"/>
            </w:pPr>
            <w:r>
              <w:rPr>
                <w:color w:val="000000"/>
                <w:sz w:val="22"/>
              </w:rPr>
              <w:t>5</w:t>
            </w:r>
          </w:p>
        </w:tc>
        <w:tc>
          <w:tcPr>
            <w:tcW w:w="0" w:type="auto"/>
            <w:vAlign w:val="center"/>
          </w:tcPr>
          <w:p w14:paraId="2A7F4E7F" w14:textId="77777777" w:rsidR="00E2285C" w:rsidRDefault="00730313">
            <w:pPr>
              <w:spacing w:beforeAutospacing="1" w:afterAutospacing="1"/>
            </w:pPr>
            <w:r>
              <w:rPr>
                <w:color w:val="000000"/>
                <w:sz w:val="22"/>
              </w:rPr>
              <w:t>2</w:t>
            </w:r>
          </w:p>
        </w:tc>
        <w:tc>
          <w:tcPr>
            <w:tcW w:w="0" w:type="auto"/>
            <w:vAlign w:val="center"/>
          </w:tcPr>
          <w:p w14:paraId="70F3314E" w14:textId="77777777" w:rsidR="00E2285C" w:rsidRDefault="00730313">
            <w:pPr>
              <w:spacing w:beforeAutospacing="1" w:afterAutospacing="1"/>
            </w:pPr>
            <w:r>
              <w:rPr>
                <w:color w:val="000000"/>
                <w:sz w:val="22"/>
              </w:rPr>
              <w:t xml:space="preserve">        40.00%</w:t>
            </w:r>
          </w:p>
        </w:tc>
        <w:tc>
          <w:tcPr>
            <w:tcW w:w="0" w:type="auto"/>
            <w:vAlign w:val="center"/>
          </w:tcPr>
          <w:p w14:paraId="3CB76F01" w14:textId="77777777" w:rsidR="00E2285C" w:rsidRDefault="00730313">
            <w:pPr>
              <w:spacing w:beforeAutospacing="1" w:afterAutospacing="1"/>
            </w:pPr>
            <w:r>
              <w:rPr>
                <w:color w:val="000000"/>
                <w:sz w:val="22"/>
              </w:rPr>
              <w:t>1</w:t>
            </w:r>
          </w:p>
        </w:tc>
        <w:tc>
          <w:tcPr>
            <w:tcW w:w="0" w:type="auto"/>
            <w:vAlign w:val="center"/>
          </w:tcPr>
          <w:p w14:paraId="642A41F8" w14:textId="77777777" w:rsidR="00E2285C" w:rsidRDefault="00730313">
            <w:pPr>
              <w:spacing w:beforeAutospacing="1" w:afterAutospacing="1"/>
            </w:pPr>
            <w:r>
              <w:rPr>
                <w:color w:val="000000"/>
                <w:sz w:val="22"/>
              </w:rPr>
              <w:t>0</w:t>
            </w:r>
          </w:p>
        </w:tc>
        <w:tc>
          <w:tcPr>
            <w:tcW w:w="0" w:type="auto"/>
            <w:vAlign w:val="center"/>
          </w:tcPr>
          <w:p w14:paraId="4431A14F" w14:textId="77777777" w:rsidR="00E2285C" w:rsidRDefault="00730313">
            <w:pPr>
              <w:spacing w:beforeAutospacing="1" w:afterAutospacing="1"/>
            </w:pPr>
            <w:r>
              <w:rPr>
                <w:color w:val="000000"/>
                <w:sz w:val="22"/>
              </w:rPr>
              <w:t xml:space="preserve">         0.00%</w:t>
            </w:r>
          </w:p>
        </w:tc>
      </w:tr>
      <w:tr w:rsidR="00E2285C" w14:paraId="34AD668C" w14:textId="77777777">
        <w:trPr>
          <w:cantSplit/>
        </w:trPr>
        <w:tc>
          <w:tcPr>
            <w:tcW w:w="0" w:type="auto"/>
            <w:vAlign w:val="center"/>
          </w:tcPr>
          <w:p w14:paraId="694D6CFA" w14:textId="77777777" w:rsidR="00E2285C" w:rsidRDefault="00730313">
            <w:pPr>
              <w:spacing w:beforeAutospacing="1" w:afterAutospacing="1"/>
            </w:pPr>
            <w:r>
              <w:rPr>
                <w:color w:val="000000"/>
                <w:sz w:val="22"/>
              </w:rPr>
              <w:t>Stabilize Neighborhoods</w:t>
            </w:r>
          </w:p>
        </w:tc>
        <w:tc>
          <w:tcPr>
            <w:tcW w:w="0" w:type="auto"/>
            <w:vAlign w:val="center"/>
          </w:tcPr>
          <w:p w14:paraId="5A5AA948"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631D0FA9" w14:textId="77777777" w:rsidR="00E2285C" w:rsidRDefault="00730313">
            <w:pPr>
              <w:spacing w:beforeAutospacing="1" w:afterAutospacing="1"/>
            </w:pPr>
            <w:r>
              <w:rPr>
                <w:color w:val="000000"/>
                <w:sz w:val="22"/>
              </w:rPr>
              <w:t>CDBG: $</w:t>
            </w:r>
          </w:p>
        </w:tc>
        <w:tc>
          <w:tcPr>
            <w:tcW w:w="0" w:type="auto"/>
            <w:vAlign w:val="center"/>
          </w:tcPr>
          <w:p w14:paraId="6CEEC4CC" w14:textId="77777777" w:rsidR="00E2285C" w:rsidRDefault="00730313">
            <w:pPr>
              <w:spacing w:beforeAutospacing="1" w:afterAutospacing="1"/>
            </w:pPr>
            <w:r>
              <w:rPr>
                <w:color w:val="000000"/>
                <w:sz w:val="22"/>
              </w:rPr>
              <w:t>Housing Code Enforcement/Foreclosed Property Care</w:t>
            </w:r>
          </w:p>
        </w:tc>
        <w:tc>
          <w:tcPr>
            <w:tcW w:w="0" w:type="auto"/>
            <w:vAlign w:val="center"/>
          </w:tcPr>
          <w:p w14:paraId="1F00B05C" w14:textId="77777777" w:rsidR="00E2285C" w:rsidRDefault="00730313">
            <w:pPr>
              <w:spacing w:beforeAutospacing="1" w:afterAutospacing="1"/>
            </w:pPr>
            <w:r>
              <w:rPr>
                <w:color w:val="000000"/>
                <w:sz w:val="22"/>
              </w:rPr>
              <w:t>Household Housing Unit</w:t>
            </w:r>
          </w:p>
        </w:tc>
        <w:tc>
          <w:tcPr>
            <w:tcW w:w="0" w:type="auto"/>
            <w:vAlign w:val="center"/>
          </w:tcPr>
          <w:p w14:paraId="787A82C6" w14:textId="77777777" w:rsidR="00E2285C" w:rsidRDefault="00730313">
            <w:pPr>
              <w:spacing w:beforeAutospacing="1" w:afterAutospacing="1"/>
            </w:pPr>
            <w:r>
              <w:rPr>
                <w:color w:val="000000"/>
                <w:sz w:val="22"/>
              </w:rPr>
              <w:t>2600</w:t>
            </w:r>
          </w:p>
        </w:tc>
        <w:tc>
          <w:tcPr>
            <w:tcW w:w="0" w:type="auto"/>
            <w:vAlign w:val="center"/>
          </w:tcPr>
          <w:p w14:paraId="0EF7DF77" w14:textId="77777777" w:rsidR="00E2285C" w:rsidRDefault="00730313">
            <w:pPr>
              <w:spacing w:beforeAutospacing="1" w:afterAutospacing="1"/>
            </w:pPr>
            <w:r>
              <w:rPr>
                <w:color w:val="000000"/>
                <w:sz w:val="22"/>
              </w:rPr>
              <w:t>12757</w:t>
            </w:r>
          </w:p>
        </w:tc>
        <w:tc>
          <w:tcPr>
            <w:tcW w:w="0" w:type="auto"/>
            <w:vAlign w:val="center"/>
          </w:tcPr>
          <w:p w14:paraId="5644A3AF" w14:textId="77777777" w:rsidR="00E2285C" w:rsidRDefault="00730313">
            <w:pPr>
              <w:spacing w:beforeAutospacing="1" w:afterAutospacing="1"/>
            </w:pPr>
            <w:r>
              <w:rPr>
                <w:color w:val="000000"/>
                <w:sz w:val="22"/>
              </w:rPr>
              <w:t xml:space="preserve">       490.65%</w:t>
            </w:r>
          </w:p>
        </w:tc>
        <w:tc>
          <w:tcPr>
            <w:tcW w:w="0" w:type="auto"/>
            <w:vAlign w:val="center"/>
          </w:tcPr>
          <w:p w14:paraId="2248470B" w14:textId="77777777" w:rsidR="00E2285C" w:rsidRDefault="00730313">
            <w:pPr>
              <w:spacing w:beforeAutospacing="1" w:afterAutospacing="1"/>
            </w:pPr>
            <w:r>
              <w:rPr>
                <w:color w:val="000000"/>
                <w:sz w:val="22"/>
              </w:rPr>
              <w:t>2001</w:t>
            </w:r>
          </w:p>
        </w:tc>
        <w:tc>
          <w:tcPr>
            <w:tcW w:w="0" w:type="auto"/>
            <w:vAlign w:val="center"/>
          </w:tcPr>
          <w:p w14:paraId="49DA3C00" w14:textId="77777777" w:rsidR="00E2285C" w:rsidRDefault="00730313">
            <w:pPr>
              <w:spacing w:beforeAutospacing="1" w:afterAutospacing="1"/>
            </w:pPr>
            <w:r>
              <w:rPr>
                <w:color w:val="000000"/>
                <w:sz w:val="22"/>
              </w:rPr>
              <w:t>1839</w:t>
            </w:r>
          </w:p>
        </w:tc>
        <w:tc>
          <w:tcPr>
            <w:tcW w:w="0" w:type="auto"/>
            <w:vAlign w:val="center"/>
          </w:tcPr>
          <w:p w14:paraId="543C9F05" w14:textId="77777777" w:rsidR="00E2285C" w:rsidRDefault="00730313">
            <w:pPr>
              <w:spacing w:beforeAutospacing="1" w:afterAutospacing="1"/>
            </w:pPr>
            <w:r>
              <w:rPr>
                <w:color w:val="000000"/>
                <w:sz w:val="22"/>
              </w:rPr>
              <w:t xml:space="preserve">        91.90%</w:t>
            </w:r>
          </w:p>
        </w:tc>
      </w:tr>
      <w:tr w:rsidR="00E2285C" w14:paraId="65EA92F9" w14:textId="77777777">
        <w:trPr>
          <w:cantSplit/>
        </w:trPr>
        <w:tc>
          <w:tcPr>
            <w:tcW w:w="0" w:type="auto"/>
            <w:vAlign w:val="center"/>
          </w:tcPr>
          <w:p w14:paraId="7B43D9A1" w14:textId="77777777" w:rsidR="00E2285C" w:rsidRDefault="00730313">
            <w:pPr>
              <w:spacing w:beforeAutospacing="1" w:afterAutospacing="1"/>
            </w:pPr>
            <w:r>
              <w:rPr>
                <w:color w:val="000000"/>
                <w:sz w:val="22"/>
              </w:rPr>
              <w:lastRenderedPageBreak/>
              <w:t>Stabilize Neighborhoods</w:t>
            </w:r>
          </w:p>
        </w:tc>
        <w:tc>
          <w:tcPr>
            <w:tcW w:w="0" w:type="auto"/>
            <w:vAlign w:val="center"/>
          </w:tcPr>
          <w:p w14:paraId="7500EE58" w14:textId="77777777" w:rsidR="00E2285C" w:rsidRDefault="00730313">
            <w:pPr>
              <w:spacing w:beforeAutospacing="1" w:afterAutospacing="1"/>
            </w:pPr>
            <w:r>
              <w:rPr>
                <w:color w:val="000000"/>
                <w:sz w:val="22"/>
              </w:rPr>
              <w:t>Affordable Housing</w:t>
            </w:r>
            <w:r>
              <w:rPr>
                <w:color w:val="000000"/>
                <w:sz w:val="22"/>
              </w:rPr>
              <w:br/>
              <w:t>Non-Homeless Special Needs</w:t>
            </w:r>
            <w:r>
              <w:rPr>
                <w:color w:val="000000"/>
                <w:sz w:val="22"/>
              </w:rPr>
              <w:br/>
              <w:t>Non-Housing Community Development</w:t>
            </w:r>
          </w:p>
        </w:tc>
        <w:tc>
          <w:tcPr>
            <w:tcW w:w="0" w:type="auto"/>
            <w:vAlign w:val="center"/>
          </w:tcPr>
          <w:p w14:paraId="3FC4A5B9" w14:textId="77777777" w:rsidR="00E2285C" w:rsidRDefault="00730313">
            <w:pPr>
              <w:spacing w:beforeAutospacing="1" w:afterAutospacing="1"/>
            </w:pPr>
            <w:r>
              <w:rPr>
                <w:color w:val="000000"/>
                <w:sz w:val="22"/>
              </w:rPr>
              <w:t>CDBG: $</w:t>
            </w:r>
          </w:p>
        </w:tc>
        <w:tc>
          <w:tcPr>
            <w:tcW w:w="0" w:type="auto"/>
            <w:vAlign w:val="center"/>
          </w:tcPr>
          <w:p w14:paraId="76167881" w14:textId="77777777" w:rsidR="00E2285C" w:rsidRDefault="00730313">
            <w:pPr>
              <w:spacing w:beforeAutospacing="1" w:afterAutospacing="1"/>
            </w:pPr>
            <w:r>
              <w:rPr>
                <w:color w:val="000000"/>
                <w:sz w:val="22"/>
              </w:rPr>
              <w:t>Other</w:t>
            </w:r>
          </w:p>
        </w:tc>
        <w:tc>
          <w:tcPr>
            <w:tcW w:w="0" w:type="auto"/>
            <w:vAlign w:val="center"/>
          </w:tcPr>
          <w:p w14:paraId="5719E5F2" w14:textId="77777777" w:rsidR="00E2285C" w:rsidRDefault="00730313">
            <w:pPr>
              <w:spacing w:beforeAutospacing="1" w:afterAutospacing="1"/>
            </w:pPr>
            <w:r>
              <w:rPr>
                <w:color w:val="000000"/>
                <w:sz w:val="22"/>
              </w:rPr>
              <w:t>Other</w:t>
            </w:r>
          </w:p>
        </w:tc>
        <w:tc>
          <w:tcPr>
            <w:tcW w:w="0" w:type="auto"/>
            <w:vAlign w:val="center"/>
          </w:tcPr>
          <w:p w14:paraId="17976323" w14:textId="77777777" w:rsidR="00E2285C" w:rsidRDefault="00730313">
            <w:pPr>
              <w:spacing w:beforeAutospacing="1" w:afterAutospacing="1"/>
            </w:pPr>
            <w:r>
              <w:rPr>
                <w:color w:val="000000"/>
                <w:sz w:val="22"/>
              </w:rPr>
              <w:t>0</w:t>
            </w:r>
          </w:p>
        </w:tc>
        <w:tc>
          <w:tcPr>
            <w:tcW w:w="0" w:type="auto"/>
            <w:vAlign w:val="center"/>
          </w:tcPr>
          <w:p w14:paraId="25C2F09C" w14:textId="77777777" w:rsidR="00E2285C" w:rsidRDefault="00730313">
            <w:pPr>
              <w:spacing w:beforeAutospacing="1" w:afterAutospacing="1"/>
            </w:pPr>
            <w:r>
              <w:rPr>
                <w:color w:val="000000"/>
                <w:sz w:val="22"/>
              </w:rPr>
              <w:t>0</w:t>
            </w:r>
          </w:p>
        </w:tc>
        <w:tc>
          <w:tcPr>
            <w:tcW w:w="0" w:type="auto"/>
            <w:vAlign w:val="center"/>
          </w:tcPr>
          <w:p w14:paraId="429561AB" w14:textId="77777777" w:rsidR="00E2285C" w:rsidRDefault="00730313">
            <w:pPr>
              <w:spacing w:beforeAutospacing="1" w:afterAutospacing="1"/>
            </w:pPr>
            <w:r>
              <w:rPr>
                <w:color w:val="000000"/>
                <w:sz w:val="22"/>
              </w:rPr>
              <w:t xml:space="preserve"> </w:t>
            </w:r>
          </w:p>
        </w:tc>
        <w:tc>
          <w:tcPr>
            <w:tcW w:w="0" w:type="auto"/>
            <w:vAlign w:val="center"/>
          </w:tcPr>
          <w:p w14:paraId="77D0C485" w14:textId="77777777" w:rsidR="00E2285C" w:rsidRDefault="00730313">
            <w:pPr>
              <w:spacing w:beforeAutospacing="1" w:afterAutospacing="1"/>
            </w:pPr>
            <w:r>
              <w:rPr>
                <w:color w:val="000000"/>
                <w:sz w:val="22"/>
              </w:rPr>
              <w:t>1</w:t>
            </w:r>
          </w:p>
        </w:tc>
        <w:tc>
          <w:tcPr>
            <w:tcW w:w="0" w:type="auto"/>
            <w:vAlign w:val="center"/>
          </w:tcPr>
          <w:p w14:paraId="1F1015A2" w14:textId="77777777" w:rsidR="00E2285C" w:rsidRDefault="00730313">
            <w:pPr>
              <w:spacing w:beforeAutospacing="1" w:afterAutospacing="1"/>
            </w:pPr>
            <w:r>
              <w:rPr>
                <w:color w:val="000000"/>
                <w:sz w:val="22"/>
              </w:rPr>
              <w:t>1</w:t>
            </w:r>
          </w:p>
        </w:tc>
        <w:tc>
          <w:tcPr>
            <w:tcW w:w="0" w:type="auto"/>
            <w:vAlign w:val="center"/>
          </w:tcPr>
          <w:p w14:paraId="471AB04F" w14:textId="77777777" w:rsidR="00E2285C" w:rsidRDefault="00730313">
            <w:pPr>
              <w:spacing w:beforeAutospacing="1" w:afterAutospacing="1"/>
            </w:pPr>
            <w:r>
              <w:rPr>
                <w:color w:val="000000"/>
                <w:sz w:val="22"/>
              </w:rPr>
              <w:t xml:space="preserve">       100.00%</w:t>
            </w:r>
          </w:p>
        </w:tc>
      </w:tr>
    </w:tbl>
    <w:p w14:paraId="73155736"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14BF9D05" w14:textId="77777777" w:rsidR="00FE3457" w:rsidRDefault="00FE3457"/>
    <w:p w14:paraId="15F77999" w14:textId="77777777" w:rsidR="00FE3457" w:rsidRDefault="00FE3457">
      <w:pPr>
        <w:spacing w:after="0" w:line="240" w:lineRule="auto"/>
      </w:pPr>
    </w:p>
    <w:p w14:paraId="52009F93" w14:textId="77777777" w:rsidR="00FE3457" w:rsidRDefault="005268B9">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7CF69EB1" w14:textId="77777777" w:rsidR="00E2285C" w:rsidRDefault="00730313">
      <w:pPr>
        <w:keepNext/>
        <w:widowControl w:val="0"/>
        <w:spacing w:beforeAutospacing="1" w:afterAutospacing="1"/>
      </w:pPr>
      <w:r>
        <w:t>Just over half (51.33% or $554,212) of CDBG funds spent in Program Year 2024 (PY24) were for housing rehabilitation activities, both for Single-Family and Multi-Family dwellings.  This is consistent with the PY24 Annual Plan which anticipated these Projects being the greatest amount of the budget.  Many of these Project activities were aided financially by the extreme amount of Program Income that was received during Program Year 2024.  Housing Rehabilitation efforts directly support the goal of Maintaining</w:t>
      </w:r>
      <w:r>
        <w:t xml:space="preserve"> Housing Stock in the city, a main thrust of the City's Community Development program.</w:t>
      </w:r>
    </w:p>
    <w:p w14:paraId="1C32F9C5" w14:textId="77777777" w:rsidR="00E2285C" w:rsidRDefault="00730313">
      <w:pPr>
        <w:keepNext/>
        <w:widowControl w:val="0"/>
        <w:spacing w:beforeAutospacing="1" w:afterAutospacing="1"/>
      </w:pPr>
      <w:r>
        <w:t>Support for Public Service activities represent another major priority that is reflected in the overall CDBG expenditure rate, with over $142,000 (over 13.2%) invested into the community to directly serve low-moderate income residents' needs.</w:t>
      </w:r>
    </w:p>
    <w:p w14:paraId="6AA4ABA4" w14:textId="77777777" w:rsidR="00E2285C" w:rsidRDefault="00730313">
      <w:pPr>
        <w:keepNext/>
        <w:widowControl w:val="0"/>
        <w:spacing w:beforeAutospacing="1" w:afterAutospacing="1"/>
      </w:pPr>
      <w:r>
        <w:t xml:space="preserve">Together these two areas of focus involve almost two-thirds (2/3rds) of the overall CDBG </w:t>
      </w:r>
      <w:proofErr w:type="gramStart"/>
      <w:r>
        <w:t>expenditures</w:t>
      </w:r>
      <w:proofErr w:type="gramEnd"/>
      <w:r>
        <w:t xml:space="preserve"> (64.54%).</w:t>
      </w:r>
    </w:p>
    <w:p w14:paraId="4A59B1CE" w14:textId="77777777" w:rsidR="00E2285C" w:rsidRDefault="00730313">
      <w:pPr>
        <w:keepNext/>
        <w:widowControl w:val="0"/>
        <w:spacing w:beforeAutospacing="1" w:afterAutospacing="1"/>
      </w:pPr>
      <w:r>
        <w:t>Another 15.3% of CDBG expenditures in Program Year 2024 were attributed to benefiting Low-Moderate Income areas.  Overall, 85.8% of non-</w:t>
      </w:r>
      <w:r>
        <w:lastRenderedPageBreak/>
        <w:t>administrative CDBG funds were expended within the Target Area.</w:t>
      </w:r>
    </w:p>
    <w:p w14:paraId="6E071602" w14:textId="77777777" w:rsidR="00E2285C" w:rsidRDefault="00730313">
      <w:pPr>
        <w:keepNext/>
        <w:widowControl w:val="0"/>
        <w:spacing w:beforeAutospacing="1" w:afterAutospacing="1"/>
      </w:pPr>
      <w:r>
        <w:t>Homelessness Prevention goals were also exceeded in this Program Year, thanks to dedicated funding and partners.</w:t>
      </w:r>
    </w:p>
    <w:p w14:paraId="20E43354" w14:textId="77777777" w:rsidR="00E2285C" w:rsidRDefault="00730313">
      <w:r>
        <w:rPr>
          <w:b/>
          <w:szCs w:val="24"/>
        </w:rPr>
        <w:t>CDBG Investments by Neighborhood</w:t>
      </w:r>
    </w:p>
    <w:p w14:paraId="6D91E6DE" w14:textId="77777777" w:rsidR="00E2285C" w:rsidRDefault="00730313">
      <w:pPr>
        <w:keepNext/>
        <w:widowControl w:val="0"/>
        <w:spacing w:beforeAutospacing="1" w:afterAutospacing="1"/>
        <w:rPr>
          <w:szCs w:val="24"/>
        </w:rPr>
      </w:pPr>
      <w:r>
        <w:t xml:space="preserve">Program Year 2024 CDBG funds were invested across the City through its various neighborhoods as </w:t>
      </w:r>
      <w:proofErr w:type="gramStart"/>
      <w:r>
        <w:t>follows:-</w:t>
      </w:r>
      <w:proofErr w:type="gramEnd"/>
      <w:r>
        <w:t xml:space="preserve">The Acre (and Lower </w:t>
      </w:r>
      <w:proofErr w:type="gramStart"/>
      <w:r>
        <w:t>Acre)  -</w:t>
      </w:r>
      <w:proofErr w:type="gramEnd"/>
      <w:r>
        <w:t xml:space="preserve">$180,657.78-Mount Washington           -$169,930.93-Downtown/Gateway Area      -$ 58,417.79-Bradford                   -$ 16,470.00-Ward Hill                  -$ 15,000.00-Highlands                  -$ 13,600.00-Hilldale/Broadway Area     -$ 12,985.00-Miscellaneous Target </w:t>
      </w:r>
      <w:proofErr w:type="gramStart"/>
      <w:r>
        <w:t>Area  -</w:t>
      </w:r>
      <w:proofErr w:type="gramEnd"/>
      <w:r>
        <w:t>$ 92,937.85-Citywide/Misc./Admin.      -$554,013.68-CDBG-CV3                   -$    752.51This reflects a commitment to concentrating CDBG funds into the most impoverished and chronically disinv</w:t>
      </w:r>
      <w:r>
        <w:t>ested parts of the city.</w:t>
      </w:r>
    </w:p>
    <w:p w14:paraId="1152CC2F" w14:textId="77777777" w:rsidR="00FE3457" w:rsidRDefault="00FE3457">
      <w:pPr>
        <w:keepNext/>
        <w:widowControl w:val="0"/>
        <w:spacing w:line="204" w:lineRule="auto"/>
        <w:rPr>
          <w:b/>
          <w:sz w:val="24"/>
          <w:szCs w:val="24"/>
        </w:rPr>
      </w:pPr>
    </w:p>
    <w:p w14:paraId="306FF287" w14:textId="77777777" w:rsidR="00FE3457" w:rsidRDefault="00FE3457">
      <w:pPr>
        <w:rPr>
          <w:b/>
          <w:i/>
          <w:sz w:val="26"/>
          <w:szCs w:val="26"/>
        </w:rPr>
        <w:sectPr w:rsidR="00FE3457">
          <w:footerReference w:type="default" r:id="rId8"/>
          <w:pgSz w:w="15840" w:h="12240" w:orient="landscape"/>
          <w:pgMar w:top="1440" w:right="1440" w:bottom="1440" w:left="1440" w:header="720" w:footer="720" w:gutter="0"/>
          <w:cols w:space="720"/>
          <w:docGrid w:linePitch="360"/>
        </w:sectPr>
      </w:pPr>
    </w:p>
    <w:p w14:paraId="51B7FB82" w14:textId="77777777" w:rsidR="00FE3457" w:rsidRDefault="005268B9">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1A389B98" w14:textId="77777777" w:rsidR="00FE3457" w:rsidRDefault="005268B9">
      <w:pPr>
        <w:keepNext/>
        <w:widowControl w:val="0"/>
        <w:rPr>
          <w:b/>
          <w:sz w:val="24"/>
          <w:szCs w:val="24"/>
        </w:rPr>
      </w:pPr>
      <w:r>
        <w:rPr>
          <w:b/>
          <w:sz w:val="24"/>
          <w:szCs w:val="24"/>
        </w:rPr>
        <w:t xml:space="preserve">Describe the families assisted (including the racial and ethnic status of families assisted). 91.520(a) </w:t>
      </w:r>
    </w:p>
    <w:p w14:paraId="08B5E93E" w14:textId="77777777" w:rsidR="00FE3457" w:rsidRDefault="00FE3457">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FE3457" w14:paraId="09832172" w14:textId="77777777">
        <w:trPr>
          <w:cantSplit/>
          <w:hidden/>
        </w:trPr>
        <w:tc>
          <w:tcPr>
            <w:tcW w:w="3773" w:type="pct"/>
          </w:tcPr>
          <w:p w14:paraId="45C1ACE4" w14:textId="77777777" w:rsidR="00FE3457" w:rsidRDefault="00FE3457">
            <w:pPr>
              <w:widowControl w:val="0"/>
              <w:spacing w:after="0" w:line="240" w:lineRule="auto"/>
              <w:rPr>
                <w:vanish/>
              </w:rPr>
            </w:pPr>
          </w:p>
        </w:tc>
        <w:tc>
          <w:tcPr>
            <w:tcW w:w="1226" w:type="pct"/>
          </w:tcPr>
          <w:p w14:paraId="3212779A" w14:textId="77777777" w:rsidR="00FE3457" w:rsidRDefault="005268B9">
            <w:pPr>
              <w:spacing w:after="0"/>
              <w:jc w:val="center"/>
              <w:rPr>
                <w:b/>
              </w:rPr>
            </w:pPr>
            <w:r>
              <w:rPr>
                <w:b/>
              </w:rPr>
              <w:t>CDBG</w:t>
            </w:r>
          </w:p>
        </w:tc>
      </w:tr>
      <w:tr w:rsidR="00E2285C" w14:paraId="440E5BA8" w14:textId="77777777">
        <w:trPr>
          <w:cantSplit/>
        </w:trPr>
        <w:tc>
          <w:tcPr>
            <w:tcW w:w="4702" w:type="dxa"/>
            <w:vAlign w:val="bottom"/>
          </w:tcPr>
          <w:p w14:paraId="06A6C55E" w14:textId="77777777" w:rsidR="00E2285C" w:rsidRDefault="00730313">
            <w:pPr>
              <w:spacing w:beforeAutospacing="1" w:afterAutospacing="1"/>
            </w:pPr>
            <w:r>
              <w:rPr>
                <w:color w:val="000000"/>
              </w:rPr>
              <w:t>White</w:t>
            </w:r>
          </w:p>
        </w:tc>
        <w:tc>
          <w:tcPr>
            <w:tcW w:w="1529" w:type="dxa"/>
            <w:vAlign w:val="bottom"/>
          </w:tcPr>
          <w:p w14:paraId="46EE6E68" w14:textId="77777777" w:rsidR="00E2285C" w:rsidRDefault="00730313">
            <w:pPr>
              <w:spacing w:beforeAutospacing="1" w:afterAutospacing="1"/>
              <w:jc w:val="right"/>
            </w:pPr>
            <w:r>
              <w:rPr>
                <w:color w:val="000000"/>
              </w:rPr>
              <w:t>1,935</w:t>
            </w:r>
          </w:p>
        </w:tc>
      </w:tr>
      <w:tr w:rsidR="00E2285C" w14:paraId="6940C4BC" w14:textId="77777777">
        <w:trPr>
          <w:cantSplit/>
        </w:trPr>
        <w:tc>
          <w:tcPr>
            <w:tcW w:w="4702" w:type="dxa"/>
            <w:vAlign w:val="bottom"/>
          </w:tcPr>
          <w:p w14:paraId="75DF07A2" w14:textId="77777777" w:rsidR="00E2285C" w:rsidRDefault="00730313">
            <w:pPr>
              <w:spacing w:beforeAutospacing="1" w:afterAutospacing="1"/>
            </w:pPr>
            <w:r>
              <w:rPr>
                <w:color w:val="000000"/>
              </w:rPr>
              <w:t>Black or African American</w:t>
            </w:r>
          </w:p>
        </w:tc>
        <w:tc>
          <w:tcPr>
            <w:tcW w:w="1529" w:type="dxa"/>
            <w:vAlign w:val="bottom"/>
          </w:tcPr>
          <w:p w14:paraId="0834B642" w14:textId="77777777" w:rsidR="00E2285C" w:rsidRDefault="00730313">
            <w:pPr>
              <w:spacing w:beforeAutospacing="1" w:afterAutospacing="1"/>
              <w:jc w:val="right"/>
            </w:pPr>
            <w:r>
              <w:rPr>
                <w:color w:val="000000"/>
              </w:rPr>
              <w:t>408</w:t>
            </w:r>
          </w:p>
        </w:tc>
      </w:tr>
      <w:tr w:rsidR="00E2285C" w14:paraId="119F504F" w14:textId="77777777">
        <w:trPr>
          <w:cantSplit/>
        </w:trPr>
        <w:tc>
          <w:tcPr>
            <w:tcW w:w="4702" w:type="dxa"/>
            <w:vAlign w:val="bottom"/>
          </w:tcPr>
          <w:p w14:paraId="74C85A6D" w14:textId="77777777" w:rsidR="00E2285C" w:rsidRDefault="00730313">
            <w:pPr>
              <w:spacing w:beforeAutospacing="1" w:afterAutospacing="1"/>
            </w:pPr>
            <w:r>
              <w:rPr>
                <w:color w:val="000000"/>
              </w:rPr>
              <w:t>Asian</w:t>
            </w:r>
          </w:p>
        </w:tc>
        <w:tc>
          <w:tcPr>
            <w:tcW w:w="1529" w:type="dxa"/>
            <w:vAlign w:val="bottom"/>
          </w:tcPr>
          <w:p w14:paraId="45420AA6" w14:textId="77777777" w:rsidR="00E2285C" w:rsidRDefault="00730313">
            <w:pPr>
              <w:spacing w:beforeAutospacing="1" w:afterAutospacing="1"/>
              <w:jc w:val="right"/>
            </w:pPr>
            <w:r>
              <w:rPr>
                <w:color w:val="000000"/>
              </w:rPr>
              <w:t>11</w:t>
            </w:r>
          </w:p>
        </w:tc>
      </w:tr>
      <w:tr w:rsidR="00E2285C" w14:paraId="53AC7049" w14:textId="77777777">
        <w:trPr>
          <w:cantSplit/>
        </w:trPr>
        <w:tc>
          <w:tcPr>
            <w:tcW w:w="4702" w:type="dxa"/>
            <w:vAlign w:val="bottom"/>
          </w:tcPr>
          <w:p w14:paraId="27D89D8C" w14:textId="77777777" w:rsidR="00E2285C" w:rsidRDefault="00730313">
            <w:pPr>
              <w:spacing w:beforeAutospacing="1" w:afterAutospacing="1"/>
            </w:pPr>
            <w:r>
              <w:rPr>
                <w:color w:val="000000"/>
              </w:rPr>
              <w:t>American Indian or American Native</w:t>
            </w:r>
          </w:p>
        </w:tc>
        <w:tc>
          <w:tcPr>
            <w:tcW w:w="1529" w:type="dxa"/>
            <w:vAlign w:val="bottom"/>
          </w:tcPr>
          <w:p w14:paraId="3C20DC33" w14:textId="77777777" w:rsidR="00E2285C" w:rsidRDefault="00730313">
            <w:pPr>
              <w:spacing w:beforeAutospacing="1" w:afterAutospacing="1"/>
              <w:jc w:val="right"/>
            </w:pPr>
            <w:r>
              <w:rPr>
                <w:color w:val="000000"/>
              </w:rPr>
              <w:t>7</w:t>
            </w:r>
          </w:p>
        </w:tc>
      </w:tr>
      <w:tr w:rsidR="00E2285C" w14:paraId="43AB7F74" w14:textId="77777777">
        <w:trPr>
          <w:cantSplit/>
        </w:trPr>
        <w:tc>
          <w:tcPr>
            <w:tcW w:w="4702" w:type="dxa"/>
            <w:vAlign w:val="bottom"/>
          </w:tcPr>
          <w:p w14:paraId="195C7F9B" w14:textId="77777777" w:rsidR="00E2285C" w:rsidRDefault="00730313">
            <w:pPr>
              <w:spacing w:beforeAutospacing="1" w:afterAutospacing="1"/>
            </w:pPr>
            <w:r>
              <w:rPr>
                <w:color w:val="000000"/>
              </w:rPr>
              <w:t>Native Hawaiian or Other Pacific Islander</w:t>
            </w:r>
          </w:p>
        </w:tc>
        <w:tc>
          <w:tcPr>
            <w:tcW w:w="1529" w:type="dxa"/>
            <w:vAlign w:val="bottom"/>
          </w:tcPr>
          <w:p w14:paraId="0C98240B" w14:textId="77777777" w:rsidR="00E2285C" w:rsidRDefault="00730313">
            <w:pPr>
              <w:spacing w:beforeAutospacing="1" w:afterAutospacing="1"/>
              <w:jc w:val="right"/>
            </w:pPr>
            <w:r>
              <w:rPr>
                <w:color w:val="000000"/>
              </w:rPr>
              <w:t>0</w:t>
            </w:r>
          </w:p>
        </w:tc>
      </w:tr>
    </w:tbl>
    <w:p w14:paraId="25456D98" w14:textId="77777777" w:rsidR="00FE3457" w:rsidRDefault="00FE3457">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9"/>
        <w:gridCol w:w="19"/>
      </w:tblGrid>
      <w:tr w:rsidR="00FE3457" w14:paraId="52BE460B" w14:textId="77777777">
        <w:trPr>
          <w:cantSplit/>
          <w:hidden/>
        </w:trPr>
        <w:tc>
          <w:tcPr>
            <w:tcW w:w="3761" w:type="pct"/>
          </w:tcPr>
          <w:p w14:paraId="738A1BA2" w14:textId="77777777" w:rsidR="00FE3457" w:rsidRDefault="00FE3457">
            <w:pPr>
              <w:widowControl w:val="0"/>
              <w:spacing w:after="0" w:line="240" w:lineRule="auto"/>
              <w:rPr>
                <w:vanish/>
              </w:rPr>
            </w:pPr>
          </w:p>
        </w:tc>
        <w:tc>
          <w:tcPr>
            <w:tcW w:w="1239" w:type="pct"/>
            <w:gridSpan w:val="2"/>
          </w:tcPr>
          <w:p w14:paraId="145317A1" w14:textId="77777777" w:rsidR="00FE3457" w:rsidRDefault="00FE3457">
            <w:pPr>
              <w:widowControl w:val="0"/>
              <w:spacing w:after="0" w:line="240" w:lineRule="auto"/>
              <w:jc w:val="center"/>
              <w:rPr>
                <w:b/>
                <w:vanish/>
              </w:rPr>
            </w:pPr>
          </w:p>
        </w:tc>
      </w:tr>
      <w:tr w:rsidR="00E2285C" w14:paraId="49FA9CE0" w14:textId="77777777">
        <w:trPr>
          <w:gridAfter w:val="1"/>
          <w:wAfter w:w="20" w:type="dxa"/>
          <w:cantSplit/>
        </w:trPr>
        <w:tc>
          <w:tcPr>
            <w:tcW w:w="4702" w:type="dxa"/>
            <w:vAlign w:val="bottom"/>
          </w:tcPr>
          <w:p w14:paraId="6891E391" w14:textId="77777777" w:rsidR="00E2285C" w:rsidRDefault="00730313">
            <w:pPr>
              <w:spacing w:beforeAutospacing="1" w:afterAutospacing="1"/>
            </w:pPr>
            <w:r>
              <w:rPr>
                <w:b/>
                <w:color w:val="000000"/>
              </w:rPr>
              <w:t>Total</w:t>
            </w:r>
          </w:p>
        </w:tc>
        <w:tc>
          <w:tcPr>
            <w:tcW w:w="1529" w:type="dxa"/>
            <w:vAlign w:val="bottom"/>
          </w:tcPr>
          <w:p w14:paraId="3FD42E22" w14:textId="77777777" w:rsidR="00E2285C" w:rsidRDefault="00730313">
            <w:pPr>
              <w:spacing w:beforeAutospacing="1" w:afterAutospacing="1"/>
              <w:jc w:val="right"/>
            </w:pPr>
            <w:r>
              <w:rPr>
                <w:b/>
                <w:color w:val="000000"/>
              </w:rPr>
              <w:t>2,361</w:t>
            </w:r>
          </w:p>
        </w:tc>
      </w:tr>
    </w:tbl>
    <w:p w14:paraId="2E612501" w14:textId="77777777" w:rsidR="00FE3457" w:rsidRDefault="00FE3457">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9"/>
        <w:gridCol w:w="19"/>
      </w:tblGrid>
      <w:tr w:rsidR="00FE3457" w14:paraId="2D644CFC" w14:textId="77777777">
        <w:trPr>
          <w:cantSplit/>
          <w:hidden/>
        </w:trPr>
        <w:tc>
          <w:tcPr>
            <w:tcW w:w="3761" w:type="pct"/>
          </w:tcPr>
          <w:p w14:paraId="5FD552DB" w14:textId="77777777" w:rsidR="00FE3457" w:rsidRDefault="00FE3457">
            <w:pPr>
              <w:widowControl w:val="0"/>
              <w:spacing w:after="0" w:line="240" w:lineRule="auto"/>
              <w:rPr>
                <w:vanish/>
              </w:rPr>
            </w:pPr>
          </w:p>
        </w:tc>
        <w:tc>
          <w:tcPr>
            <w:tcW w:w="1239" w:type="pct"/>
            <w:gridSpan w:val="2"/>
          </w:tcPr>
          <w:p w14:paraId="15D87DF1" w14:textId="77777777" w:rsidR="00FE3457" w:rsidRDefault="00FE3457">
            <w:pPr>
              <w:widowControl w:val="0"/>
              <w:spacing w:after="0" w:line="240" w:lineRule="auto"/>
              <w:jc w:val="center"/>
              <w:rPr>
                <w:b/>
                <w:vanish/>
              </w:rPr>
            </w:pPr>
          </w:p>
        </w:tc>
      </w:tr>
      <w:tr w:rsidR="00E2285C" w14:paraId="70A8192F" w14:textId="77777777">
        <w:trPr>
          <w:gridAfter w:val="1"/>
          <w:wAfter w:w="20" w:type="dxa"/>
          <w:cantSplit/>
        </w:trPr>
        <w:tc>
          <w:tcPr>
            <w:tcW w:w="4702" w:type="dxa"/>
            <w:vAlign w:val="bottom"/>
          </w:tcPr>
          <w:p w14:paraId="7BEA2F7E" w14:textId="77777777" w:rsidR="00E2285C" w:rsidRDefault="00730313">
            <w:pPr>
              <w:spacing w:beforeAutospacing="1" w:afterAutospacing="1"/>
            </w:pPr>
            <w:r>
              <w:rPr>
                <w:color w:val="000000"/>
              </w:rPr>
              <w:t>Hispanic</w:t>
            </w:r>
          </w:p>
        </w:tc>
        <w:tc>
          <w:tcPr>
            <w:tcW w:w="1529" w:type="dxa"/>
            <w:vAlign w:val="bottom"/>
          </w:tcPr>
          <w:p w14:paraId="622CEDB5" w14:textId="77777777" w:rsidR="00E2285C" w:rsidRDefault="00730313">
            <w:pPr>
              <w:spacing w:beforeAutospacing="1" w:afterAutospacing="1"/>
              <w:jc w:val="right"/>
            </w:pPr>
            <w:r>
              <w:rPr>
                <w:color w:val="000000"/>
              </w:rPr>
              <w:t>1,051</w:t>
            </w:r>
          </w:p>
        </w:tc>
      </w:tr>
      <w:tr w:rsidR="00E2285C" w14:paraId="6D85AA3A" w14:textId="77777777">
        <w:trPr>
          <w:gridAfter w:val="1"/>
          <w:wAfter w:w="20" w:type="dxa"/>
          <w:cantSplit/>
        </w:trPr>
        <w:tc>
          <w:tcPr>
            <w:tcW w:w="4702" w:type="dxa"/>
            <w:vAlign w:val="bottom"/>
          </w:tcPr>
          <w:p w14:paraId="7BDB1782" w14:textId="77777777" w:rsidR="00E2285C" w:rsidRDefault="00730313">
            <w:pPr>
              <w:spacing w:beforeAutospacing="1" w:afterAutospacing="1"/>
            </w:pPr>
            <w:r>
              <w:rPr>
                <w:color w:val="000000"/>
              </w:rPr>
              <w:t>Not Hispanic</w:t>
            </w:r>
          </w:p>
        </w:tc>
        <w:tc>
          <w:tcPr>
            <w:tcW w:w="1529" w:type="dxa"/>
            <w:vAlign w:val="bottom"/>
          </w:tcPr>
          <w:p w14:paraId="1F21C4C0" w14:textId="77777777" w:rsidR="00E2285C" w:rsidRDefault="00730313">
            <w:pPr>
              <w:spacing w:beforeAutospacing="1" w:afterAutospacing="1"/>
              <w:jc w:val="right"/>
            </w:pPr>
            <w:r>
              <w:rPr>
                <w:color w:val="000000"/>
              </w:rPr>
              <w:t>1,310</w:t>
            </w:r>
          </w:p>
        </w:tc>
      </w:tr>
    </w:tbl>
    <w:p w14:paraId="3BE060EA" w14:textId="77777777" w:rsidR="00FE3457" w:rsidRDefault="00FE3457">
      <w:pPr>
        <w:pStyle w:val="NoSpacing"/>
        <w:rPr>
          <w:vanish/>
        </w:rPr>
      </w:pPr>
    </w:p>
    <w:p w14:paraId="29F2D5F0" w14:textId="77777777" w:rsidR="00FE3457" w:rsidRDefault="00FE3457">
      <w:pPr>
        <w:pStyle w:val="NoSpacing"/>
        <w:rPr>
          <w:vanish/>
        </w:rPr>
      </w:pPr>
    </w:p>
    <w:p w14:paraId="6406255D" w14:textId="77777777" w:rsidR="00FE3457" w:rsidRDefault="00FE3457">
      <w:pPr>
        <w:pStyle w:val="NoSpacing"/>
        <w:rPr>
          <w:vanish/>
        </w:rPr>
      </w:pPr>
    </w:p>
    <w:p w14:paraId="5AD43E12" w14:textId="77777777" w:rsidR="00FE3457" w:rsidRDefault="00FE3457">
      <w:pPr>
        <w:pStyle w:val="NoSpacing"/>
        <w:rPr>
          <w:vanish/>
        </w:rPr>
      </w:pPr>
    </w:p>
    <w:p w14:paraId="1B5E17DA" w14:textId="77777777" w:rsidR="00FE3457" w:rsidRDefault="00FE3457">
      <w:pPr>
        <w:pStyle w:val="NoSpacing"/>
        <w:rPr>
          <w:vanish/>
        </w:rPr>
      </w:pPr>
    </w:p>
    <w:p w14:paraId="03C5BB79" w14:textId="77777777" w:rsidR="00FE3457" w:rsidRDefault="00FE3457">
      <w:pPr>
        <w:pStyle w:val="NoSpacing"/>
        <w:rPr>
          <w:vanish/>
        </w:rPr>
      </w:pPr>
    </w:p>
    <w:p w14:paraId="53B5CA0D" w14:textId="77777777" w:rsidR="00FE3457" w:rsidRDefault="00FE3457">
      <w:pPr>
        <w:pStyle w:val="NoSpacing"/>
        <w:rPr>
          <w:vanish/>
        </w:rPr>
      </w:pPr>
    </w:p>
    <w:p w14:paraId="00153E4D" w14:textId="77777777" w:rsidR="00FE3457" w:rsidRDefault="00FE3457">
      <w:pPr>
        <w:pStyle w:val="NoSpacing"/>
        <w:rPr>
          <w:vanish/>
        </w:rPr>
      </w:pPr>
    </w:p>
    <w:p w14:paraId="4A03C0D3" w14:textId="77777777" w:rsidR="00FE3457" w:rsidRDefault="00FE3457">
      <w:pPr>
        <w:pStyle w:val="NoSpacing"/>
        <w:rPr>
          <w:vanish/>
        </w:rPr>
      </w:pPr>
    </w:p>
    <w:p w14:paraId="0D0948FB" w14:textId="77777777" w:rsidR="00FE3457" w:rsidRDefault="00FE3457">
      <w:pPr>
        <w:pStyle w:val="NoSpacing"/>
        <w:rPr>
          <w:vanish/>
        </w:rPr>
      </w:pPr>
    </w:p>
    <w:p w14:paraId="38417CA2" w14:textId="77777777" w:rsidR="00FE3457" w:rsidRDefault="00FE3457">
      <w:pPr>
        <w:pStyle w:val="NoSpacing"/>
        <w:rPr>
          <w:vanish/>
        </w:rPr>
      </w:pPr>
    </w:p>
    <w:p w14:paraId="43571636" w14:textId="77777777" w:rsidR="00FE3457" w:rsidRDefault="00FE3457">
      <w:pPr>
        <w:pStyle w:val="NoSpacing"/>
        <w:rPr>
          <w:vanish/>
        </w:rPr>
      </w:pPr>
    </w:p>
    <w:p w14:paraId="7EFBFAC4" w14:textId="77777777" w:rsidR="00FE3457" w:rsidRDefault="00FE3457">
      <w:pPr>
        <w:pStyle w:val="NoSpacing"/>
        <w:rPr>
          <w:vanish/>
        </w:rPr>
      </w:pPr>
    </w:p>
    <w:p w14:paraId="23D039A6" w14:textId="77777777" w:rsidR="00FE3457" w:rsidRDefault="00FE3457">
      <w:pPr>
        <w:pStyle w:val="NoSpacing"/>
        <w:rPr>
          <w:vanish/>
        </w:rPr>
      </w:pPr>
    </w:p>
    <w:p w14:paraId="0640664E" w14:textId="77777777" w:rsidR="00FE3457" w:rsidRDefault="00FE3457">
      <w:pPr>
        <w:pStyle w:val="NoSpacing"/>
      </w:pPr>
    </w:p>
    <w:p w14:paraId="6FA17F5F" w14:textId="77777777" w:rsidR="00FE3457" w:rsidRDefault="00FE3457">
      <w:pPr>
        <w:pStyle w:val="NoSpacing"/>
        <w:rPr>
          <w:vanish/>
        </w:rPr>
      </w:pPr>
    </w:p>
    <w:p w14:paraId="21A052D4" w14:textId="77777777" w:rsidR="00FE3457" w:rsidRDefault="00FE3457">
      <w:pPr>
        <w:pStyle w:val="NoSpacing"/>
        <w:rPr>
          <w:vanish/>
        </w:rPr>
      </w:pPr>
    </w:p>
    <w:p w14:paraId="1E965779" w14:textId="77777777" w:rsidR="00FE3457" w:rsidRDefault="00FE3457">
      <w:pPr>
        <w:pStyle w:val="NoSpacing"/>
        <w:rPr>
          <w:vanish/>
        </w:rPr>
      </w:pPr>
    </w:p>
    <w:p w14:paraId="08A6893D" w14:textId="77777777" w:rsidR="00FE3457" w:rsidRDefault="00FE3457">
      <w:pPr>
        <w:pStyle w:val="NoSpacing"/>
        <w:rPr>
          <w:vanish/>
        </w:rPr>
      </w:pPr>
    </w:p>
    <w:p w14:paraId="77EB9930" w14:textId="77777777" w:rsidR="00FE3457" w:rsidRDefault="00FE3457">
      <w:pPr>
        <w:pStyle w:val="NoSpacing"/>
        <w:rPr>
          <w:vanish/>
        </w:rPr>
      </w:pPr>
    </w:p>
    <w:p w14:paraId="2460B0D6" w14:textId="77777777" w:rsidR="00FE3457" w:rsidRDefault="00FE3457">
      <w:pPr>
        <w:pStyle w:val="NoSpacing"/>
        <w:rPr>
          <w:vanish/>
        </w:rPr>
      </w:pPr>
    </w:p>
    <w:p w14:paraId="2C6CD8E3" w14:textId="77777777" w:rsidR="00FE3457" w:rsidRDefault="00FE3457">
      <w:pPr>
        <w:pStyle w:val="NoSpacing"/>
        <w:rPr>
          <w:vanish/>
        </w:rPr>
      </w:pPr>
    </w:p>
    <w:p w14:paraId="66C93974" w14:textId="77777777" w:rsidR="00FE3457" w:rsidRDefault="00FE3457">
      <w:pPr>
        <w:pStyle w:val="NoSpacing"/>
        <w:rPr>
          <w:vanish/>
        </w:rPr>
      </w:pPr>
    </w:p>
    <w:p w14:paraId="50AE11CC" w14:textId="77777777" w:rsidR="00FE3457" w:rsidRDefault="00FE3457">
      <w:pPr>
        <w:pStyle w:val="NoSpacing"/>
        <w:rPr>
          <w:vanish/>
        </w:rPr>
      </w:pPr>
    </w:p>
    <w:p w14:paraId="40EDA636" w14:textId="77777777" w:rsidR="00FE3457" w:rsidRDefault="00FE3457">
      <w:pPr>
        <w:pStyle w:val="NoSpacing"/>
        <w:rPr>
          <w:vanish/>
        </w:rPr>
      </w:pPr>
    </w:p>
    <w:p w14:paraId="780E3D0E" w14:textId="77777777" w:rsidR="00FE3457" w:rsidRDefault="00FE3457">
      <w:pPr>
        <w:keepNext/>
        <w:widowControl w:val="0"/>
        <w:spacing w:after="0" w:line="240" w:lineRule="auto"/>
        <w:rPr>
          <w:b/>
          <w:vanish/>
          <w:sz w:val="24"/>
          <w:szCs w:val="24"/>
        </w:rPr>
      </w:pPr>
    </w:p>
    <w:p w14:paraId="55494150" w14:textId="77777777" w:rsidR="00FE3457" w:rsidRDefault="00FE3457">
      <w:pPr>
        <w:pStyle w:val="NoSpacing"/>
        <w:rPr>
          <w:vanish/>
        </w:rPr>
      </w:pPr>
    </w:p>
    <w:p w14:paraId="765B8462" w14:textId="77777777" w:rsidR="00FE3457" w:rsidRDefault="00FE3457">
      <w:pPr>
        <w:pStyle w:val="NoSpacing"/>
        <w:rPr>
          <w:vanish/>
        </w:rPr>
      </w:pPr>
    </w:p>
    <w:p w14:paraId="2FF29A24" w14:textId="77777777" w:rsidR="00FE3457" w:rsidRDefault="00FE3457">
      <w:pPr>
        <w:pStyle w:val="NoSpacing"/>
        <w:rPr>
          <w:vanish/>
        </w:rPr>
      </w:pPr>
    </w:p>
    <w:p w14:paraId="09101858" w14:textId="77777777" w:rsidR="00FE3457" w:rsidRDefault="00FE3457">
      <w:pPr>
        <w:pStyle w:val="NoSpacing"/>
        <w:rPr>
          <w:vanish/>
        </w:rPr>
      </w:pPr>
    </w:p>
    <w:p w14:paraId="4982A376" w14:textId="77777777" w:rsidR="00FE3457" w:rsidRDefault="00FE3457">
      <w:pPr>
        <w:pStyle w:val="NoSpacing"/>
        <w:rPr>
          <w:vanish/>
        </w:rPr>
      </w:pPr>
    </w:p>
    <w:p w14:paraId="33C5C840" w14:textId="77777777" w:rsidR="00FE3457" w:rsidRDefault="00FE3457">
      <w:pPr>
        <w:pStyle w:val="NoSpacing"/>
        <w:rPr>
          <w:vanish/>
        </w:rPr>
      </w:pPr>
    </w:p>
    <w:p w14:paraId="45A005AF" w14:textId="77777777" w:rsidR="00FE3457" w:rsidRDefault="00FE3457">
      <w:pPr>
        <w:pStyle w:val="NoSpacing"/>
        <w:rPr>
          <w:vanish/>
        </w:rPr>
      </w:pPr>
    </w:p>
    <w:p w14:paraId="2706DA86" w14:textId="77777777" w:rsidR="00FE3457" w:rsidRDefault="00FE3457">
      <w:pPr>
        <w:pStyle w:val="NoSpacing"/>
        <w:rPr>
          <w:vanish/>
        </w:rPr>
      </w:pPr>
    </w:p>
    <w:p w14:paraId="4CFA1940" w14:textId="77777777" w:rsidR="00FE3457" w:rsidRDefault="00FE3457">
      <w:pPr>
        <w:pStyle w:val="NoSpacing"/>
        <w:rPr>
          <w:vanish/>
        </w:rPr>
      </w:pPr>
    </w:p>
    <w:p w14:paraId="31A78C89" w14:textId="77777777" w:rsidR="00FE3457" w:rsidRDefault="00FE3457">
      <w:pPr>
        <w:pStyle w:val="NoSpacing"/>
        <w:rPr>
          <w:vanish/>
        </w:rPr>
      </w:pPr>
    </w:p>
    <w:p w14:paraId="03C726E9" w14:textId="77777777" w:rsidR="00FE3457" w:rsidRDefault="00FE3457">
      <w:pPr>
        <w:pStyle w:val="NoSpacing"/>
        <w:rPr>
          <w:vanish/>
        </w:rPr>
      </w:pPr>
    </w:p>
    <w:p w14:paraId="0A2C6288" w14:textId="77777777" w:rsidR="00FE3457" w:rsidRDefault="00FE3457">
      <w:pPr>
        <w:pStyle w:val="NoSpacing"/>
        <w:rPr>
          <w:vanish/>
        </w:rPr>
      </w:pPr>
    </w:p>
    <w:p w14:paraId="63CCC37C" w14:textId="77777777" w:rsidR="00FE3457" w:rsidRDefault="00FE3457">
      <w:pPr>
        <w:pStyle w:val="NoSpacing"/>
        <w:rPr>
          <w:vanish/>
        </w:rPr>
      </w:pPr>
    </w:p>
    <w:p w14:paraId="41746236" w14:textId="77777777" w:rsidR="00FE3457" w:rsidRDefault="00FE3457">
      <w:pPr>
        <w:pStyle w:val="NoSpacing"/>
        <w:rPr>
          <w:vanish/>
        </w:rPr>
      </w:pPr>
    </w:p>
    <w:p w14:paraId="28E87641" w14:textId="77777777" w:rsidR="00FE3457" w:rsidRDefault="00FE3457">
      <w:pPr>
        <w:pStyle w:val="NoSpacing"/>
        <w:rPr>
          <w:vanish/>
        </w:rPr>
      </w:pPr>
    </w:p>
    <w:p w14:paraId="790D5DC6" w14:textId="77777777" w:rsidR="00FE3457" w:rsidRDefault="00FE3457">
      <w:pPr>
        <w:pStyle w:val="NoSpacing"/>
        <w:rPr>
          <w:vanish/>
        </w:rPr>
      </w:pPr>
    </w:p>
    <w:p w14:paraId="10D35DAF" w14:textId="77777777" w:rsidR="00FE3457" w:rsidRDefault="00FE3457">
      <w:pPr>
        <w:pStyle w:val="NoSpacing"/>
        <w:rPr>
          <w:vanish/>
        </w:rPr>
      </w:pPr>
    </w:p>
    <w:p w14:paraId="17BDB3A8" w14:textId="77777777" w:rsidR="00FE3457" w:rsidRDefault="00FE3457">
      <w:pPr>
        <w:pStyle w:val="NoSpacing"/>
        <w:rPr>
          <w:vanish/>
        </w:rPr>
      </w:pPr>
    </w:p>
    <w:p w14:paraId="63A1E688" w14:textId="77777777" w:rsidR="00FE3457" w:rsidRDefault="00FE3457">
      <w:pPr>
        <w:pStyle w:val="NoSpacing"/>
        <w:rPr>
          <w:vanish/>
        </w:rPr>
      </w:pPr>
    </w:p>
    <w:p w14:paraId="5515D994" w14:textId="77777777" w:rsidR="00FE3457" w:rsidRDefault="00FE3457">
      <w:pPr>
        <w:pStyle w:val="NoSpacing"/>
        <w:rPr>
          <w:vanish/>
        </w:rPr>
      </w:pPr>
    </w:p>
    <w:p w14:paraId="4248EB5E" w14:textId="77777777" w:rsidR="00FE3457" w:rsidRDefault="00FE3457">
      <w:pPr>
        <w:pStyle w:val="NoSpacing"/>
        <w:rPr>
          <w:vanish/>
        </w:rPr>
      </w:pPr>
    </w:p>
    <w:p w14:paraId="027A3E82" w14:textId="77777777" w:rsidR="00FE3457" w:rsidRDefault="00FE3457">
      <w:pPr>
        <w:pStyle w:val="NoSpacing"/>
        <w:rPr>
          <w:vanish/>
        </w:rPr>
      </w:pPr>
    </w:p>
    <w:p w14:paraId="26BCAE09" w14:textId="77777777" w:rsidR="00FE3457" w:rsidRDefault="00FE3457">
      <w:pPr>
        <w:pStyle w:val="NoSpacing"/>
        <w:rPr>
          <w:vanish/>
        </w:rPr>
      </w:pPr>
    </w:p>
    <w:p w14:paraId="2F6D5A93" w14:textId="77777777" w:rsidR="00FE3457" w:rsidRDefault="00FE3457">
      <w:pPr>
        <w:keepNext/>
        <w:widowControl w:val="0"/>
        <w:rPr>
          <w:rFonts w:asciiTheme="minorHAnsi" w:hAnsiTheme="minorHAnsi"/>
          <w:b/>
          <w:sz w:val="20"/>
          <w:szCs w:val="20"/>
        </w:rPr>
      </w:pPr>
    </w:p>
    <w:p w14:paraId="113898F0" w14:textId="77777777" w:rsidR="00FE3457" w:rsidRDefault="00FE3457">
      <w:pPr>
        <w:keepNext/>
        <w:widowControl w:val="0"/>
        <w:rPr>
          <w:rFonts w:asciiTheme="minorHAnsi" w:hAnsiTheme="minorHAnsi"/>
          <w:b/>
          <w:sz w:val="20"/>
          <w:szCs w:val="20"/>
        </w:rPr>
      </w:pPr>
    </w:p>
    <w:p w14:paraId="434FF95E" w14:textId="77777777" w:rsidR="00FE3457" w:rsidRDefault="005268B9">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6E1E5E3E" w14:textId="77777777" w:rsidR="00FE3457" w:rsidRDefault="00FE3457">
      <w:pPr>
        <w:widowControl w:val="0"/>
        <w:rPr>
          <w:b/>
          <w:sz w:val="24"/>
          <w:szCs w:val="24"/>
        </w:rPr>
      </w:pPr>
    </w:p>
    <w:p w14:paraId="1E125B39" w14:textId="77777777" w:rsidR="00FE3457" w:rsidRDefault="005268B9">
      <w:pPr>
        <w:widowControl w:val="0"/>
        <w:rPr>
          <w:b/>
          <w:sz w:val="24"/>
          <w:szCs w:val="24"/>
        </w:rPr>
      </w:pPr>
      <w:r>
        <w:rPr>
          <w:b/>
          <w:sz w:val="24"/>
          <w:szCs w:val="24"/>
        </w:rPr>
        <w:t>Narrative</w:t>
      </w:r>
    </w:p>
    <w:p w14:paraId="4142665C" w14:textId="77777777" w:rsidR="00E2285C" w:rsidRDefault="00730313">
      <w:pPr>
        <w:widowControl w:val="0"/>
        <w:spacing w:beforeAutospacing="1" w:afterAutospacing="1"/>
      </w:pPr>
      <w:r>
        <w:t>These numbers of families assisted with Community Development Block Grant (CDBG)-funded activities in Program Year 2024 (PY24) reflect the overall diversity of Haverhill at large.  This data testifies that CDBG funds are reaching their intended target audiences.</w:t>
      </w:r>
    </w:p>
    <w:p w14:paraId="2B5DAA4B" w14:textId="77777777" w:rsidR="00E2285C" w:rsidRDefault="00730313">
      <w:pPr>
        <w:widowControl w:val="0"/>
        <w:spacing w:beforeAutospacing="1" w:afterAutospacing="1"/>
      </w:pPr>
      <w:r>
        <w:t>More than 44% of families assisted through CDBG identified as Hispanic/Latino, which is representative of the average demographics of Haverhill's Target Area neighborhoods, although higher than the city's overall demographics (which is around 28% Hispanic/Latino).  Over 17% identified as Black/African American, an increase from last year's 10.8% in Program Year 2023. Just under 82% identified as White (including Hispanic/Latinos who identify as White), a slight year-over-year decrease in keeping with demogr</w:t>
      </w:r>
      <w:r>
        <w:t>aphic trends.</w:t>
      </w:r>
    </w:p>
    <w:p w14:paraId="435AD50A" w14:textId="77777777" w:rsidR="00E2285C" w:rsidRDefault="00730313">
      <w:pPr>
        <w:widowControl w:val="0"/>
        <w:spacing w:beforeAutospacing="1" w:afterAutospacing="1"/>
      </w:pPr>
      <w:r>
        <w:t xml:space="preserve">This data underscores the importance and demonstrates the effectiveness of City and CDBG-funded subrecipients conducting outreach to Target Area communities and minority </w:t>
      </w:r>
      <w:proofErr w:type="gramStart"/>
      <w:r>
        <w:t>groups in particular</w:t>
      </w:r>
      <w:proofErr w:type="gramEnd"/>
      <w:r>
        <w:t>.</w:t>
      </w:r>
    </w:p>
    <w:p w14:paraId="0EABB9A7" w14:textId="77777777" w:rsidR="00FE3457" w:rsidRDefault="00FE3457">
      <w:pPr>
        <w:widowControl w:val="0"/>
      </w:pPr>
    </w:p>
    <w:p w14:paraId="6CFDE70D" w14:textId="77777777" w:rsidR="00FE3457" w:rsidRDefault="00FE3457">
      <w:pPr>
        <w:sectPr w:rsidR="00FE3457">
          <w:pgSz w:w="12240" w:h="15840" w:code="1"/>
          <w:pgMar w:top="1440" w:right="1440" w:bottom="1440" w:left="1440" w:header="720" w:footer="720" w:gutter="0"/>
          <w:cols w:space="720"/>
          <w:docGrid w:linePitch="360"/>
        </w:sectPr>
      </w:pPr>
    </w:p>
    <w:bookmarkEnd w:id="0"/>
    <w:p w14:paraId="6395BE14" w14:textId="77777777" w:rsidR="00FE3457" w:rsidRDefault="005268B9">
      <w:pPr>
        <w:pStyle w:val="Heading2"/>
        <w:rPr>
          <w:rFonts w:ascii="Calibri" w:hAnsi="Calibri"/>
          <w:i w:val="0"/>
        </w:rPr>
      </w:pPr>
      <w:r>
        <w:rPr>
          <w:rFonts w:ascii="Calibri" w:hAnsi="Calibri"/>
          <w:i w:val="0"/>
        </w:rPr>
        <w:lastRenderedPageBreak/>
        <w:t>CR-15 - Resources and Investments 91.520(a)</w:t>
      </w:r>
    </w:p>
    <w:p w14:paraId="02A9F5E3" w14:textId="77777777" w:rsidR="00FE3457" w:rsidRDefault="005268B9">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FE3457" w14:paraId="4BB1C4FE" w14:textId="77777777">
        <w:trPr>
          <w:cantSplit/>
        </w:trPr>
        <w:tc>
          <w:tcPr>
            <w:tcW w:w="2394" w:type="dxa"/>
          </w:tcPr>
          <w:p w14:paraId="4D4AB92A" w14:textId="77777777" w:rsidR="00FE3457" w:rsidRDefault="005268B9">
            <w:pPr>
              <w:keepNext/>
              <w:widowControl w:val="0"/>
              <w:spacing w:after="0" w:line="240" w:lineRule="auto"/>
              <w:jc w:val="center"/>
              <w:rPr>
                <w:rFonts w:cs="Arial"/>
                <w:b/>
              </w:rPr>
            </w:pPr>
            <w:r>
              <w:rPr>
                <w:rFonts w:cs="Arial"/>
                <w:b/>
              </w:rPr>
              <w:t>Source of Funds</w:t>
            </w:r>
          </w:p>
        </w:tc>
        <w:tc>
          <w:tcPr>
            <w:tcW w:w="2394" w:type="dxa"/>
          </w:tcPr>
          <w:p w14:paraId="46AE66D6" w14:textId="77777777" w:rsidR="00FE3457" w:rsidRDefault="005268B9">
            <w:pPr>
              <w:keepNext/>
              <w:widowControl w:val="0"/>
              <w:spacing w:after="0" w:line="240" w:lineRule="auto"/>
              <w:jc w:val="center"/>
              <w:rPr>
                <w:rFonts w:cs="Arial"/>
                <w:b/>
              </w:rPr>
            </w:pPr>
            <w:r>
              <w:rPr>
                <w:rFonts w:cs="Arial"/>
                <w:b/>
              </w:rPr>
              <w:t>Source</w:t>
            </w:r>
          </w:p>
        </w:tc>
        <w:tc>
          <w:tcPr>
            <w:tcW w:w="2394" w:type="dxa"/>
          </w:tcPr>
          <w:p w14:paraId="2BAC03C6" w14:textId="77777777" w:rsidR="00FE3457" w:rsidRDefault="005268B9">
            <w:pPr>
              <w:keepNext/>
              <w:spacing w:after="0" w:line="240" w:lineRule="auto"/>
              <w:jc w:val="center"/>
              <w:rPr>
                <w:rFonts w:cs="Arial"/>
                <w:b/>
              </w:rPr>
            </w:pPr>
            <w:r>
              <w:rPr>
                <w:rFonts w:cs="Arial"/>
                <w:b/>
              </w:rPr>
              <w:t>Resources Made Available</w:t>
            </w:r>
          </w:p>
        </w:tc>
        <w:tc>
          <w:tcPr>
            <w:tcW w:w="2394" w:type="dxa"/>
          </w:tcPr>
          <w:p w14:paraId="01198937" w14:textId="77777777" w:rsidR="00FE3457" w:rsidRDefault="005268B9">
            <w:pPr>
              <w:keepNext/>
              <w:widowControl w:val="0"/>
              <w:spacing w:after="0" w:line="240" w:lineRule="auto"/>
              <w:jc w:val="center"/>
              <w:rPr>
                <w:rFonts w:cs="Arial"/>
                <w:b/>
              </w:rPr>
            </w:pPr>
            <w:r>
              <w:rPr>
                <w:rFonts w:cs="Arial"/>
                <w:b/>
              </w:rPr>
              <w:t>Amount Expended During Program Year</w:t>
            </w:r>
          </w:p>
        </w:tc>
      </w:tr>
      <w:tr w:rsidR="00E2285C" w14:paraId="01834E12" w14:textId="77777777">
        <w:trPr>
          <w:cantSplit/>
        </w:trPr>
        <w:tc>
          <w:tcPr>
            <w:tcW w:w="0" w:type="auto"/>
            <w:vAlign w:val="bottom"/>
          </w:tcPr>
          <w:p w14:paraId="7DDF1F16" w14:textId="77777777" w:rsidR="00E2285C" w:rsidRDefault="00730313">
            <w:pPr>
              <w:spacing w:beforeAutospacing="1" w:afterAutospacing="1"/>
            </w:pPr>
            <w:r>
              <w:rPr>
                <w:color w:val="000000"/>
              </w:rPr>
              <w:t>CDBG</w:t>
            </w:r>
          </w:p>
        </w:tc>
        <w:tc>
          <w:tcPr>
            <w:tcW w:w="0" w:type="auto"/>
            <w:vAlign w:val="bottom"/>
          </w:tcPr>
          <w:p w14:paraId="73B879FD" w14:textId="77777777" w:rsidR="00E2285C" w:rsidRDefault="00730313">
            <w:pPr>
              <w:spacing w:beforeAutospacing="1" w:afterAutospacing="1"/>
            </w:pPr>
            <w:r>
              <w:rPr>
                <w:color w:val="000000"/>
              </w:rPr>
              <w:t>public - federal</w:t>
            </w:r>
          </w:p>
        </w:tc>
        <w:tc>
          <w:tcPr>
            <w:tcW w:w="0" w:type="auto"/>
            <w:vAlign w:val="bottom"/>
          </w:tcPr>
          <w:p w14:paraId="072CC770" w14:textId="77777777" w:rsidR="00E2285C" w:rsidRDefault="00730313">
            <w:pPr>
              <w:spacing w:beforeAutospacing="1" w:afterAutospacing="1"/>
              <w:jc w:val="right"/>
            </w:pPr>
            <w:r>
              <w:rPr>
                <w:color w:val="000000"/>
              </w:rPr>
              <w:t>1,248,000</w:t>
            </w:r>
          </w:p>
        </w:tc>
        <w:tc>
          <w:tcPr>
            <w:tcW w:w="0" w:type="auto"/>
            <w:vAlign w:val="bottom"/>
          </w:tcPr>
          <w:p w14:paraId="5BEBD626" w14:textId="77777777" w:rsidR="00E2285C" w:rsidRDefault="00730313">
            <w:pPr>
              <w:spacing w:beforeAutospacing="1" w:afterAutospacing="1"/>
              <w:jc w:val="right"/>
            </w:pPr>
            <w:r>
              <w:rPr>
                <w:color w:val="000000"/>
              </w:rPr>
              <w:t>1,114,765</w:t>
            </w:r>
          </w:p>
        </w:tc>
      </w:tr>
    </w:tbl>
    <w:p w14:paraId="2556A8FC"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089D97FB" w14:textId="77777777" w:rsidR="00FE3457" w:rsidRDefault="00FE3457">
      <w:pPr>
        <w:spacing w:after="0" w:line="240" w:lineRule="auto"/>
        <w:rPr>
          <w:b/>
          <w:sz w:val="24"/>
          <w:szCs w:val="24"/>
        </w:rPr>
      </w:pPr>
    </w:p>
    <w:p w14:paraId="20DC1B4A" w14:textId="77777777" w:rsidR="00FE3457" w:rsidRDefault="005268B9">
      <w:pPr>
        <w:spacing w:after="0" w:line="240" w:lineRule="auto"/>
        <w:rPr>
          <w:b/>
          <w:sz w:val="24"/>
          <w:szCs w:val="24"/>
        </w:rPr>
      </w:pPr>
      <w:r>
        <w:rPr>
          <w:b/>
          <w:sz w:val="24"/>
          <w:szCs w:val="24"/>
        </w:rPr>
        <w:t>Narrative</w:t>
      </w:r>
    </w:p>
    <w:p w14:paraId="370FB053" w14:textId="77777777" w:rsidR="00E2285C" w:rsidRDefault="00730313">
      <w:pPr>
        <w:spacing w:beforeAutospacing="1" w:afterAutospacing="1"/>
        <w:rPr>
          <w:rFonts w:cs="Arial"/>
        </w:rPr>
      </w:pPr>
      <w:r>
        <w:rPr>
          <w:rFonts w:cs="Arial"/>
        </w:rPr>
        <w:t xml:space="preserve">Due to prior </w:t>
      </w:r>
      <w:proofErr w:type="gramStart"/>
      <w:r>
        <w:rPr>
          <w:rFonts w:cs="Arial"/>
        </w:rPr>
        <w:t>year</w:t>
      </w:r>
      <w:proofErr w:type="gramEnd"/>
      <w:r>
        <w:rPr>
          <w:rFonts w:cs="Arial"/>
        </w:rPr>
        <w:t xml:space="preserve"> unspent funds, a massive influx of Program Income and the last small amount of CDBG-CV funds, the City was fortunately able to spend </w:t>
      </w:r>
      <w:proofErr w:type="gramStart"/>
      <w:r>
        <w:rPr>
          <w:rFonts w:cs="Arial"/>
        </w:rPr>
        <w:t>in excess of</w:t>
      </w:r>
      <w:proofErr w:type="gramEnd"/>
      <w:r>
        <w:rPr>
          <w:rFonts w:cs="Arial"/>
        </w:rPr>
        <w:t xml:space="preserve"> its original plan, expending over $1.114 million in Program Year 2024.</w:t>
      </w:r>
    </w:p>
    <w:p w14:paraId="6FEC3874" w14:textId="77777777" w:rsidR="00E2285C" w:rsidRDefault="00730313">
      <w:pPr>
        <w:spacing w:beforeAutospacing="1" w:afterAutospacing="1"/>
        <w:rPr>
          <w:rFonts w:cs="Arial"/>
        </w:rPr>
      </w:pPr>
      <w:r>
        <w:rPr>
          <w:rFonts w:cs="Arial"/>
        </w:rPr>
        <w:t xml:space="preserve">To complete recovery from the effects of the COVID-19 Pandemic, the City spent $752.51 in CDBG-CV3 funds in Program Year 2024 (counting from July 1, </w:t>
      </w:r>
      <w:proofErr w:type="gramStart"/>
      <w:r>
        <w:rPr>
          <w:rFonts w:cs="Arial"/>
        </w:rPr>
        <w:t>2024</w:t>
      </w:r>
      <w:proofErr w:type="gramEnd"/>
      <w:r>
        <w:rPr>
          <w:rFonts w:cs="Arial"/>
        </w:rPr>
        <w:t xml:space="preserve"> through June 30, 2025).  </w:t>
      </w:r>
      <w:proofErr w:type="gramStart"/>
      <w:r>
        <w:rPr>
          <w:rFonts w:cs="Arial"/>
        </w:rPr>
        <w:t>All of</w:t>
      </w:r>
      <w:proofErr w:type="gramEnd"/>
      <w:r>
        <w:rPr>
          <w:rFonts w:cs="Arial"/>
        </w:rPr>
        <w:t xml:space="preserve"> these CARES Act funds (100%) have now been fully and successfully expended. </w:t>
      </w:r>
    </w:p>
    <w:p w14:paraId="543EA9A2" w14:textId="77777777" w:rsidR="00E2285C" w:rsidRDefault="00730313">
      <w:pPr>
        <w:spacing w:beforeAutospacing="1" w:afterAutospacing="1"/>
        <w:rPr>
          <w:rFonts w:cs="Arial"/>
        </w:rPr>
      </w:pPr>
      <w:r>
        <w:rPr>
          <w:rFonts w:cs="Arial"/>
        </w:rPr>
        <w:t xml:space="preserve">The City easily met its HUD-mandated threshold of holding no more than 1.5 times its annual CDBG award on the books (totaling all unexpended CDBG funds from all prior years) during its annual May 'Timeliness Test.'  Given its spending rate, the City has already essentially met this mark for the upcoming year, carrying in around $466,666 of unexpended CDBG funds into Program Year 2025.  The Program Year 2024 Annual Action Plan had estimated around $75,000 in Program Income; with over $410,000 incoming, this </w:t>
      </w:r>
      <w:r>
        <w:rPr>
          <w:rFonts w:cs="Arial"/>
        </w:rPr>
        <w:t xml:space="preserve">projection was way too low.  Being the end of the 2020-2024 </w:t>
      </w:r>
      <w:proofErr w:type="spellStart"/>
      <w:r>
        <w:rPr>
          <w:rFonts w:cs="Arial"/>
        </w:rPr>
        <w:t>ConPlan</w:t>
      </w:r>
      <w:proofErr w:type="spellEnd"/>
      <w:r>
        <w:rPr>
          <w:rFonts w:cs="Arial"/>
        </w:rPr>
        <w:t xml:space="preserve"> period, the City had originally planned to expend all prior year funds.  An aggressive plan for expending any remaining prior year unspent funds is in effect in Program Year 2025. </w:t>
      </w:r>
    </w:p>
    <w:p w14:paraId="02FE907C" w14:textId="77777777" w:rsidR="00E2285C" w:rsidRDefault="00730313">
      <w:pPr>
        <w:spacing w:beforeAutospacing="1" w:afterAutospacing="1"/>
        <w:rPr>
          <w:rFonts w:cs="Arial"/>
        </w:rPr>
      </w:pPr>
      <w:r>
        <w:rPr>
          <w:rFonts w:cs="Arial"/>
        </w:rPr>
        <w:t xml:space="preserve">Over $217,222 of $223,940 in the City's annual allocation of HOME funds were obligated for Haverhill Housing Authority and Habitat for Humanity projects.  Including a small amount of HOME Admin costs ($6,718), all $223,940 in the City's allocation of HOME funds were expended or obligated.  Very little was </w:t>
      </w:r>
      <w:proofErr w:type="gramStart"/>
      <w:r>
        <w:rPr>
          <w:rFonts w:cs="Arial"/>
        </w:rPr>
        <w:t>actually expended</w:t>
      </w:r>
      <w:proofErr w:type="gramEnd"/>
      <w:r>
        <w:rPr>
          <w:rFonts w:cs="Arial"/>
        </w:rPr>
        <w:t xml:space="preserve"> in real HOME dollars over the past year, but in Program Year 2025 Habitat's projects will utilize $250,000 from the past two funding years (FFY2023 and FFY2024).</w:t>
      </w:r>
    </w:p>
    <w:p w14:paraId="7AF99659" w14:textId="77777777" w:rsidR="00E2285C" w:rsidRDefault="00730313">
      <w:pPr>
        <w:spacing w:beforeAutospacing="1" w:afterAutospacing="1"/>
        <w:rPr>
          <w:rFonts w:cs="Arial"/>
        </w:rPr>
      </w:pPr>
      <w:r>
        <w:rPr>
          <w:rFonts w:cs="Arial"/>
        </w:rPr>
        <w:t>All HUD Section 8 funds were fully utilized by the Haverhill Housing Authority for rental assistance, more than $5.4 million, even more than last year.</w:t>
      </w:r>
    </w:p>
    <w:p w14:paraId="5409C21A" w14:textId="77777777" w:rsidR="00E2285C" w:rsidRDefault="00730313">
      <w:pPr>
        <w:spacing w:beforeAutospacing="1" w:afterAutospacing="1"/>
        <w:rPr>
          <w:rFonts w:cs="Arial"/>
        </w:rPr>
      </w:pPr>
      <w:r>
        <w:rPr>
          <w:rFonts w:cs="Arial"/>
        </w:rPr>
        <w:t xml:space="preserve">Over 6/7ths (85.8%) of all CDBG funds were spent on Low-Moderate Income people or places (households or Census tracts).  The remainder, mostly Code Enforcement and some other spot activities, </w:t>
      </w:r>
      <w:proofErr w:type="gramStart"/>
      <w:r>
        <w:rPr>
          <w:rFonts w:cs="Arial"/>
        </w:rPr>
        <w:t>was</w:t>
      </w:r>
      <w:proofErr w:type="gramEnd"/>
      <w:r>
        <w:rPr>
          <w:rFonts w:cs="Arial"/>
        </w:rPr>
        <w:t xml:space="preserve"> categorized as Slum/Blight assistance. Over 85.8% of Program Year 2024 non-administrative CDBG funds were spent within the defined CDBG Target Area.</w:t>
      </w:r>
    </w:p>
    <w:p w14:paraId="15685443" w14:textId="77777777" w:rsidR="00FE3457" w:rsidRDefault="00FE3457">
      <w:pPr>
        <w:spacing w:after="0" w:line="240" w:lineRule="auto"/>
        <w:rPr>
          <w:b/>
          <w:sz w:val="24"/>
          <w:szCs w:val="24"/>
        </w:rPr>
      </w:pPr>
    </w:p>
    <w:p w14:paraId="5E7548A2" w14:textId="77777777" w:rsidR="00FE3457" w:rsidRDefault="005268B9">
      <w:pPr>
        <w:keepNext/>
        <w:spacing w:after="0" w:line="240" w:lineRule="auto"/>
        <w:rPr>
          <w:b/>
          <w:sz w:val="24"/>
          <w:szCs w:val="24"/>
        </w:rPr>
      </w:pPr>
      <w:r>
        <w:rPr>
          <w:b/>
          <w:sz w:val="24"/>
          <w:szCs w:val="24"/>
        </w:rPr>
        <w:lastRenderedPageBreak/>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657"/>
        <w:gridCol w:w="1657"/>
        <w:gridCol w:w="4312"/>
      </w:tblGrid>
      <w:tr w:rsidR="00FE3457" w14:paraId="75AA07D9" w14:textId="77777777">
        <w:trPr>
          <w:cantSplit/>
        </w:trPr>
        <w:tc>
          <w:tcPr>
            <w:tcW w:w="2394" w:type="dxa"/>
          </w:tcPr>
          <w:p w14:paraId="547054D4" w14:textId="77777777" w:rsidR="00FE3457" w:rsidRDefault="005268B9">
            <w:pPr>
              <w:keepNext/>
              <w:widowControl w:val="0"/>
              <w:spacing w:after="0" w:line="240" w:lineRule="auto"/>
              <w:jc w:val="center"/>
              <w:rPr>
                <w:rFonts w:cs="Arial"/>
                <w:b/>
              </w:rPr>
            </w:pPr>
            <w:r>
              <w:rPr>
                <w:rFonts w:cs="Arial"/>
                <w:b/>
              </w:rPr>
              <w:t>Target Area</w:t>
            </w:r>
          </w:p>
        </w:tc>
        <w:tc>
          <w:tcPr>
            <w:tcW w:w="2394" w:type="dxa"/>
          </w:tcPr>
          <w:p w14:paraId="74732B05" w14:textId="77777777" w:rsidR="00FE3457" w:rsidRDefault="005268B9">
            <w:pPr>
              <w:keepNext/>
              <w:widowControl w:val="0"/>
              <w:spacing w:after="0" w:line="240" w:lineRule="auto"/>
              <w:jc w:val="center"/>
              <w:rPr>
                <w:rFonts w:cs="Arial"/>
                <w:b/>
              </w:rPr>
            </w:pPr>
            <w:r>
              <w:rPr>
                <w:rFonts w:cs="Arial"/>
                <w:b/>
              </w:rPr>
              <w:t>Planned Percentage of Allocation</w:t>
            </w:r>
          </w:p>
        </w:tc>
        <w:tc>
          <w:tcPr>
            <w:tcW w:w="2394" w:type="dxa"/>
          </w:tcPr>
          <w:p w14:paraId="01464F23" w14:textId="77777777" w:rsidR="00FE3457" w:rsidRDefault="005268B9">
            <w:pPr>
              <w:keepNext/>
              <w:spacing w:after="0" w:line="240" w:lineRule="auto"/>
              <w:jc w:val="center"/>
              <w:rPr>
                <w:rFonts w:cs="Arial"/>
                <w:b/>
              </w:rPr>
            </w:pPr>
            <w:r>
              <w:rPr>
                <w:rFonts w:cs="Arial"/>
                <w:b/>
              </w:rPr>
              <w:t>Actual Percentage of Allocation</w:t>
            </w:r>
          </w:p>
        </w:tc>
        <w:tc>
          <w:tcPr>
            <w:tcW w:w="2394" w:type="dxa"/>
          </w:tcPr>
          <w:p w14:paraId="0156AFFC" w14:textId="77777777" w:rsidR="00FE3457" w:rsidRDefault="005268B9">
            <w:pPr>
              <w:keepNext/>
              <w:widowControl w:val="0"/>
              <w:spacing w:after="0" w:line="240" w:lineRule="auto"/>
              <w:jc w:val="center"/>
              <w:rPr>
                <w:rFonts w:cs="Arial"/>
                <w:b/>
              </w:rPr>
            </w:pPr>
            <w:r>
              <w:rPr>
                <w:rFonts w:cs="Arial"/>
                <w:b/>
              </w:rPr>
              <w:t>Narrative Description</w:t>
            </w:r>
          </w:p>
        </w:tc>
      </w:tr>
      <w:tr w:rsidR="00E2285C" w14:paraId="14352D45" w14:textId="77777777">
        <w:trPr>
          <w:cantSplit/>
        </w:trPr>
        <w:tc>
          <w:tcPr>
            <w:tcW w:w="0" w:type="auto"/>
            <w:vAlign w:val="bottom"/>
          </w:tcPr>
          <w:p w14:paraId="16FC091B" w14:textId="77777777" w:rsidR="00E2285C" w:rsidRDefault="00730313">
            <w:pPr>
              <w:spacing w:beforeAutospacing="1" w:afterAutospacing="1"/>
            </w:pPr>
            <w:r>
              <w:rPr>
                <w:color w:val="000000"/>
              </w:rPr>
              <w:t>CDBG TARGET AREA</w:t>
            </w:r>
          </w:p>
        </w:tc>
        <w:tc>
          <w:tcPr>
            <w:tcW w:w="0" w:type="auto"/>
            <w:vAlign w:val="bottom"/>
          </w:tcPr>
          <w:p w14:paraId="5DF5FFF0" w14:textId="77777777" w:rsidR="00E2285C" w:rsidRDefault="00730313">
            <w:pPr>
              <w:spacing w:beforeAutospacing="1" w:afterAutospacing="1"/>
            </w:pPr>
            <w:r>
              <w:rPr>
                <w:color w:val="000000"/>
              </w:rPr>
              <w:t>80</w:t>
            </w:r>
          </w:p>
        </w:tc>
        <w:tc>
          <w:tcPr>
            <w:tcW w:w="0" w:type="auto"/>
            <w:vAlign w:val="bottom"/>
          </w:tcPr>
          <w:p w14:paraId="41687DB1" w14:textId="77777777" w:rsidR="00E2285C" w:rsidRDefault="00730313">
            <w:pPr>
              <w:spacing w:beforeAutospacing="1" w:afterAutospacing="1"/>
            </w:pPr>
            <w:r>
              <w:rPr>
                <w:color w:val="000000"/>
              </w:rPr>
              <w:t>86</w:t>
            </w:r>
          </w:p>
        </w:tc>
        <w:tc>
          <w:tcPr>
            <w:tcW w:w="0" w:type="auto"/>
            <w:vAlign w:val="bottom"/>
          </w:tcPr>
          <w:p w14:paraId="60AAD188" w14:textId="77777777" w:rsidR="00E2285C" w:rsidRDefault="00730313">
            <w:pPr>
              <w:spacing w:beforeAutospacing="1" w:afterAutospacing="1"/>
            </w:pPr>
            <w:r>
              <w:rPr>
                <w:color w:val="000000"/>
              </w:rPr>
              <w:t>85.8% of all non-administrative CDBG expenditures in Program Year 2024 occurred within Target Area</w:t>
            </w:r>
          </w:p>
        </w:tc>
      </w:tr>
      <w:tr w:rsidR="00E2285C" w14:paraId="68B5FE0F" w14:textId="77777777">
        <w:trPr>
          <w:cantSplit/>
        </w:trPr>
        <w:tc>
          <w:tcPr>
            <w:tcW w:w="0" w:type="auto"/>
            <w:vAlign w:val="bottom"/>
          </w:tcPr>
          <w:p w14:paraId="571661E5" w14:textId="77777777" w:rsidR="00E2285C" w:rsidRDefault="00730313">
            <w:pPr>
              <w:spacing w:beforeAutospacing="1" w:afterAutospacing="1"/>
            </w:pPr>
            <w:r>
              <w:rPr>
                <w:color w:val="000000"/>
              </w:rPr>
              <w:t>Lower Acre NRSA</w:t>
            </w:r>
          </w:p>
        </w:tc>
        <w:tc>
          <w:tcPr>
            <w:tcW w:w="0" w:type="auto"/>
            <w:vAlign w:val="bottom"/>
          </w:tcPr>
          <w:p w14:paraId="10B66004" w14:textId="77777777" w:rsidR="00E2285C" w:rsidRDefault="00730313">
            <w:pPr>
              <w:spacing w:beforeAutospacing="1" w:afterAutospacing="1"/>
            </w:pPr>
            <w:r>
              <w:rPr>
                <w:color w:val="000000"/>
              </w:rPr>
              <w:t xml:space="preserve"> </w:t>
            </w:r>
          </w:p>
        </w:tc>
        <w:tc>
          <w:tcPr>
            <w:tcW w:w="0" w:type="auto"/>
            <w:vAlign w:val="bottom"/>
          </w:tcPr>
          <w:p w14:paraId="3F8E3A6B" w14:textId="77777777" w:rsidR="00E2285C" w:rsidRDefault="00730313">
            <w:pPr>
              <w:spacing w:beforeAutospacing="1" w:afterAutospacing="1"/>
            </w:pPr>
            <w:r>
              <w:rPr>
                <w:color w:val="000000"/>
              </w:rPr>
              <w:t>28</w:t>
            </w:r>
          </w:p>
        </w:tc>
        <w:tc>
          <w:tcPr>
            <w:tcW w:w="0" w:type="auto"/>
            <w:vAlign w:val="bottom"/>
          </w:tcPr>
          <w:p w14:paraId="4E63E0DB" w14:textId="77777777" w:rsidR="00E2285C" w:rsidRDefault="00730313">
            <w:pPr>
              <w:spacing w:beforeAutospacing="1" w:afterAutospacing="1"/>
            </w:pPr>
            <w:r>
              <w:rPr>
                <w:color w:val="000000"/>
              </w:rPr>
              <w:t xml:space="preserve">27.64% of all non-administrative PY24 CDBG funds were spent </w:t>
            </w:r>
            <w:proofErr w:type="gramStart"/>
            <w:r>
              <w:rPr>
                <w:color w:val="000000"/>
              </w:rPr>
              <w:t>in</w:t>
            </w:r>
            <w:proofErr w:type="gramEnd"/>
            <w:r>
              <w:rPr>
                <w:color w:val="000000"/>
              </w:rPr>
              <w:t xml:space="preserve"> the Lower Acre</w:t>
            </w:r>
          </w:p>
        </w:tc>
      </w:tr>
      <w:tr w:rsidR="00E2285C" w14:paraId="4C7CE52A" w14:textId="77777777">
        <w:trPr>
          <w:cantSplit/>
        </w:trPr>
        <w:tc>
          <w:tcPr>
            <w:tcW w:w="0" w:type="auto"/>
            <w:vAlign w:val="bottom"/>
          </w:tcPr>
          <w:p w14:paraId="28E070C0" w14:textId="77777777" w:rsidR="00E2285C" w:rsidRDefault="00730313">
            <w:pPr>
              <w:spacing w:beforeAutospacing="1" w:afterAutospacing="1"/>
            </w:pPr>
            <w:r>
              <w:rPr>
                <w:color w:val="000000"/>
              </w:rPr>
              <w:t>Mount Washington NRSA</w:t>
            </w:r>
          </w:p>
        </w:tc>
        <w:tc>
          <w:tcPr>
            <w:tcW w:w="0" w:type="auto"/>
            <w:vAlign w:val="bottom"/>
          </w:tcPr>
          <w:p w14:paraId="45522D6C" w14:textId="77777777" w:rsidR="00E2285C" w:rsidRDefault="00730313">
            <w:pPr>
              <w:spacing w:beforeAutospacing="1" w:afterAutospacing="1"/>
            </w:pPr>
            <w:r>
              <w:rPr>
                <w:color w:val="000000"/>
              </w:rPr>
              <w:t xml:space="preserve"> </w:t>
            </w:r>
          </w:p>
        </w:tc>
        <w:tc>
          <w:tcPr>
            <w:tcW w:w="0" w:type="auto"/>
            <w:vAlign w:val="bottom"/>
          </w:tcPr>
          <w:p w14:paraId="7CA5607F" w14:textId="77777777" w:rsidR="00E2285C" w:rsidRDefault="00730313">
            <w:pPr>
              <w:spacing w:beforeAutospacing="1" w:afterAutospacing="1"/>
            </w:pPr>
            <w:r>
              <w:rPr>
                <w:color w:val="000000"/>
              </w:rPr>
              <w:t>26</w:t>
            </w:r>
          </w:p>
        </w:tc>
        <w:tc>
          <w:tcPr>
            <w:tcW w:w="0" w:type="auto"/>
            <w:vAlign w:val="bottom"/>
          </w:tcPr>
          <w:p w14:paraId="6F73E74A" w14:textId="77777777" w:rsidR="00E2285C" w:rsidRDefault="00730313">
            <w:pPr>
              <w:spacing w:beforeAutospacing="1" w:afterAutospacing="1"/>
            </w:pPr>
            <w:r>
              <w:rPr>
                <w:color w:val="000000"/>
              </w:rPr>
              <w:t>26% of non-administrative PY24 CDBG funds were spent in Mount Washington</w:t>
            </w:r>
          </w:p>
        </w:tc>
      </w:tr>
    </w:tbl>
    <w:p w14:paraId="6E7049A8"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64C6A438" w14:textId="77777777" w:rsidR="00FE3457" w:rsidRDefault="00FE3457">
      <w:pPr>
        <w:keepNext/>
        <w:widowControl w:val="0"/>
        <w:spacing w:line="204" w:lineRule="auto"/>
        <w:rPr>
          <w:b/>
          <w:sz w:val="24"/>
          <w:szCs w:val="24"/>
        </w:rPr>
      </w:pPr>
    </w:p>
    <w:p w14:paraId="3396F1A7" w14:textId="77777777" w:rsidR="00FE3457" w:rsidRDefault="005268B9">
      <w:pPr>
        <w:widowControl w:val="0"/>
        <w:spacing w:line="204" w:lineRule="auto"/>
        <w:rPr>
          <w:b/>
          <w:sz w:val="24"/>
          <w:szCs w:val="24"/>
        </w:rPr>
      </w:pPr>
      <w:r>
        <w:rPr>
          <w:b/>
          <w:sz w:val="24"/>
          <w:szCs w:val="24"/>
        </w:rPr>
        <w:t>Narrative</w:t>
      </w:r>
    </w:p>
    <w:p w14:paraId="40C1706E" w14:textId="77777777" w:rsidR="00E2285C" w:rsidRDefault="00730313">
      <w:pPr>
        <w:widowControl w:val="0"/>
        <w:spacing w:beforeAutospacing="1" w:afterAutospacing="1"/>
        <w:rPr>
          <w:rFonts w:cs="Arial"/>
        </w:rPr>
      </w:pPr>
      <w:r>
        <w:rPr>
          <w:rFonts w:cs="Arial"/>
        </w:rPr>
        <w:t xml:space="preserve">In addition to Public Improvements and Code </w:t>
      </w:r>
      <w:proofErr w:type="gramStart"/>
      <w:r>
        <w:rPr>
          <w:rFonts w:cs="Arial"/>
        </w:rPr>
        <w:t>Enforcement</w:t>
      </w:r>
      <w:proofErr w:type="gramEnd"/>
      <w:r>
        <w:rPr>
          <w:rFonts w:cs="Arial"/>
        </w:rPr>
        <w:t xml:space="preserve"> all being exclusively Target Area-based activities, </w:t>
      </w:r>
      <w:proofErr w:type="gramStart"/>
      <w:r>
        <w:rPr>
          <w:rFonts w:cs="Arial"/>
        </w:rPr>
        <w:t>the vast majority of</w:t>
      </w:r>
      <w:proofErr w:type="gramEnd"/>
      <w:r>
        <w:rPr>
          <w:rFonts w:cs="Arial"/>
        </w:rPr>
        <w:t xml:space="preserve"> Housing Rehabilitation activities are undertaken in the same Target Area neighborhoods which demonstrate the greatest housing need and housing stock deficiencies. Over </w:t>
      </w:r>
      <w:proofErr w:type="gramStart"/>
      <w:r>
        <w:rPr>
          <w:rFonts w:cs="Arial"/>
        </w:rPr>
        <w:t>three-quarters</w:t>
      </w:r>
      <w:proofErr w:type="gramEnd"/>
      <w:r>
        <w:rPr>
          <w:rFonts w:cs="Arial"/>
        </w:rPr>
        <w:t>, $235,882.62 of $313,207.35 or 75.3%, of CDBG-funded housing rehabilitation activities in Program Year 2024 occurred in the Target Area. </w:t>
      </w:r>
    </w:p>
    <w:p w14:paraId="580300DB" w14:textId="77777777" w:rsidR="00E2285C" w:rsidRDefault="00730313">
      <w:pPr>
        <w:widowControl w:val="0"/>
        <w:spacing w:beforeAutospacing="1" w:afterAutospacing="1"/>
        <w:rPr>
          <w:rFonts w:cs="Arial"/>
        </w:rPr>
      </w:pPr>
      <w:r>
        <w:rPr>
          <w:rFonts w:cs="Arial"/>
        </w:rPr>
        <w:t xml:space="preserve">By and large, Public Service and Economic Development activities have the Target Area as their </w:t>
      </w:r>
      <w:proofErr w:type="gramStart"/>
      <w:r>
        <w:rPr>
          <w:rFonts w:cs="Arial"/>
        </w:rPr>
        <w:t>locus</w:t>
      </w:r>
      <w:proofErr w:type="gramEnd"/>
      <w:r>
        <w:rPr>
          <w:rFonts w:cs="Arial"/>
        </w:rPr>
        <w:t xml:space="preserve">.  For example, most of the non-profit organizations delivering CDBG-funded services to low-to-moderate income clients </w:t>
      </w:r>
      <w:proofErr w:type="gramStart"/>
      <w:r>
        <w:rPr>
          <w:rFonts w:cs="Arial"/>
        </w:rPr>
        <w:t>are located in</w:t>
      </w:r>
      <w:proofErr w:type="gramEnd"/>
      <w:r>
        <w:rPr>
          <w:rFonts w:cs="Arial"/>
        </w:rPr>
        <w:t xml:space="preserve"> the urban core of the city, and most of their program delivery occurs in this same general area</w:t>
      </w:r>
      <w:r>
        <w:rPr>
          <w:rFonts w:cs="Arial"/>
          <w:i/>
        </w:rPr>
        <w:t xml:space="preserve">.  </w:t>
      </w:r>
      <w:r>
        <w:rPr>
          <w:rFonts w:cs="Arial"/>
        </w:rPr>
        <w:t>Some CDBG Economic Development Activities (such as Facade Improvement) are Target Area specific, and the City's investment in MakeIT Haverhill reflects its status in the heart of the Target Area.  This is in keeping with the Plan goal of promoting economic development that i</w:t>
      </w:r>
      <w:r>
        <w:rPr>
          <w:rFonts w:cs="Arial"/>
        </w:rPr>
        <w:t>s neighborhood-based.</w:t>
      </w:r>
    </w:p>
    <w:p w14:paraId="0644A3AF" w14:textId="77777777" w:rsidR="00E2285C" w:rsidRDefault="00730313">
      <w:pPr>
        <w:widowControl w:val="0"/>
        <w:spacing w:beforeAutospacing="1" w:afterAutospacing="1"/>
        <w:rPr>
          <w:rFonts w:cs="Arial"/>
        </w:rPr>
      </w:pPr>
      <w:r>
        <w:rPr>
          <w:rFonts w:cs="Arial"/>
        </w:rPr>
        <w:t>While short of the Program Year 2024 Annual Plan goal of having one-third of CDBG funds invested into both the Lower Acre and Mount Washington areas, the City still invested nearly 28% of its PY24 CDBG funds into the Lower Acre and 26% into Mount Washington, comprising more than half of all CDBG PY24 funds going into these chronically disinvested areas/neighborhoods.  </w:t>
      </w:r>
    </w:p>
    <w:p w14:paraId="1248270D" w14:textId="77777777" w:rsidR="00E2285C" w:rsidRDefault="00730313">
      <w:pPr>
        <w:widowControl w:val="0"/>
        <w:spacing w:beforeAutospacing="1" w:afterAutospacing="1"/>
        <w:rPr>
          <w:rFonts w:cs="Arial"/>
        </w:rPr>
      </w:pPr>
      <w:r>
        <w:rPr>
          <w:rFonts w:cs="Arial"/>
        </w:rPr>
        <w:t>NOTE: Various Administrative totals (i.e. CDBG Rehabilitation Administration and CDBG Program Administration costs) are excluded from these calculations.</w:t>
      </w:r>
    </w:p>
    <w:p w14:paraId="750ED338" w14:textId="77777777" w:rsidR="00FE3457" w:rsidRDefault="005268B9">
      <w:pPr>
        <w:pageBreakBefore/>
        <w:widowControl w:val="0"/>
        <w:spacing w:line="240" w:lineRule="auto"/>
        <w:rPr>
          <w:b/>
          <w:sz w:val="24"/>
          <w:szCs w:val="24"/>
        </w:rPr>
      </w:pPr>
      <w:r>
        <w:rPr>
          <w:b/>
          <w:sz w:val="24"/>
          <w:szCs w:val="24"/>
        </w:rPr>
        <w:lastRenderedPageBreak/>
        <w:t>Leveraging</w:t>
      </w:r>
    </w:p>
    <w:p w14:paraId="54C9FFB5" w14:textId="77777777" w:rsidR="00FE3457" w:rsidRDefault="005268B9">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6463A00A" w14:textId="77777777" w:rsidR="00E2285C" w:rsidRDefault="00730313">
      <w:pPr>
        <w:widowControl w:val="0"/>
        <w:spacing w:beforeAutospacing="1" w:afterAutospacing="1"/>
        <w:rPr>
          <w:sz w:val="24"/>
          <w:szCs w:val="24"/>
        </w:rPr>
      </w:pPr>
      <w:r>
        <w:rPr>
          <w:sz w:val="24"/>
          <w:szCs w:val="24"/>
        </w:rPr>
        <w:t>As intended, the City's CDBG funds leveraged a significant amount (millions) of other federal, state and private resources to help achieve Goals.  For example:</w:t>
      </w:r>
    </w:p>
    <w:p w14:paraId="5CFF7EF1" w14:textId="77777777" w:rsidR="00E2285C" w:rsidRDefault="00730313">
      <w:pPr>
        <w:widowControl w:val="0"/>
        <w:spacing w:beforeAutospacing="1" w:afterAutospacing="1"/>
        <w:rPr>
          <w:sz w:val="24"/>
          <w:szCs w:val="24"/>
        </w:rPr>
      </w:pPr>
      <w:r>
        <w:rPr>
          <w:sz w:val="24"/>
          <w:szCs w:val="24"/>
        </w:rPr>
        <w:t xml:space="preserve">-HOME- FFY2024 HOME funds also supported Habitat for Humanity's development of an affordable duplex for lower-income homeowners at the end of Curtis Street in the Mount Washington area.  In addition, HOME Funds helps assure the purchase of </w:t>
      </w:r>
      <w:proofErr w:type="gramStart"/>
      <w:r>
        <w:rPr>
          <w:sz w:val="24"/>
          <w:szCs w:val="24"/>
        </w:rPr>
        <w:t>the 512</w:t>
      </w:r>
      <w:proofErr w:type="gramEnd"/>
      <w:r>
        <w:rPr>
          <w:sz w:val="24"/>
          <w:szCs w:val="24"/>
        </w:rPr>
        <w:t xml:space="preserve"> Washington Street to be converted into 7 units of affordable homeownership.</w:t>
      </w:r>
      <w:r>
        <w:rPr>
          <w:i/>
          <w:sz w:val="24"/>
          <w:szCs w:val="24"/>
        </w:rPr>
        <w:br/>
      </w:r>
    </w:p>
    <w:p w14:paraId="50B5BF30" w14:textId="77777777" w:rsidR="00E2285C" w:rsidRDefault="00730313">
      <w:pPr>
        <w:widowControl w:val="0"/>
        <w:spacing w:beforeAutospacing="1" w:afterAutospacing="1"/>
        <w:rPr>
          <w:sz w:val="24"/>
          <w:szCs w:val="24"/>
        </w:rPr>
      </w:pPr>
      <w:r>
        <w:rPr>
          <w:sz w:val="24"/>
          <w:szCs w:val="24"/>
        </w:rPr>
        <w:t>-Shannon and Byrne Policing Grants- A $314K grant last year for the Haverhill Police Department and non-profit partners supplemented CDBG-funded neighborhood stabilization and gang prevention efforts.  Since 2009, the multi-year Shannon Grant provided over $3.5 million for anti-gang efforts in Haverhill and Methuen, mostly through community partners who are often CDBG subrecipients.   </w:t>
      </w:r>
    </w:p>
    <w:p w14:paraId="677473E5" w14:textId="77777777" w:rsidR="00E2285C" w:rsidRDefault="00730313">
      <w:pPr>
        <w:widowControl w:val="0"/>
        <w:spacing w:beforeAutospacing="1" w:afterAutospacing="1"/>
        <w:rPr>
          <w:sz w:val="24"/>
          <w:szCs w:val="24"/>
        </w:rPr>
      </w:pPr>
      <w:r>
        <w:rPr>
          <w:sz w:val="24"/>
          <w:szCs w:val="24"/>
        </w:rPr>
        <w:t>-Vacant Property Registry funds- These funds again successfully supported the efforts of the City's Vacant Property Manager, tracking and monitoring of derelict vacant sites.</w:t>
      </w:r>
    </w:p>
    <w:p w14:paraId="798F01C3" w14:textId="77777777" w:rsidR="00E2285C" w:rsidRDefault="00730313">
      <w:pPr>
        <w:widowControl w:val="0"/>
        <w:spacing w:beforeAutospacing="1" w:afterAutospacing="1"/>
        <w:rPr>
          <w:sz w:val="24"/>
          <w:szCs w:val="24"/>
        </w:rPr>
      </w:pPr>
      <w:r>
        <w:rPr>
          <w:sz w:val="24"/>
          <w:szCs w:val="24"/>
        </w:rPr>
        <w:t>-</w:t>
      </w:r>
      <w:proofErr w:type="spellStart"/>
      <w:r>
        <w:rPr>
          <w:sz w:val="24"/>
          <w:szCs w:val="24"/>
        </w:rPr>
        <w:t>MassWorks</w:t>
      </w:r>
      <w:proofErr w:type="spellEnd"/>
      <w:r>
        <w:rPr>
          <w:sz w:val="24"/>
          <w:szCs w:val="24"/>
        </w:rPr>
        <w:t xml:space="preserve"> Infrastructure Grant</w:t>
      </w:r>
      <w:proofErr w:type="gramStart"/>
      <w:r>
        <w:rPr>
          <w:sz w:val="24"/>
          <w:szCs w:val="24"/>
        </w:rPr>
        <w:t>-  This</w:t>
      </w:r>
      <w:proofErr w:type="gramEnd"/>
      <w:r>
        <w:rPr>
          <w:sz w:val="24"/>
          <w:szCs w:val="24"/>
        </w:rPr>
        <w:t xml:space="preserve"> State grant, a keystone of the Community One-Stop for Growth program, provided $1.95 million for major traffic improvement, signalization, intersection realignment and utility relocation to support Procopio Companies' 290-unit Beck mixed-use housing project by the Comeau Bridge, a redevelopment of the former </w:t>
      </w:r>
      <w:proofErr w:type="spellStart"/>
      <w:r>
        <w:rPr>
          <w:sz w:val="24"/>
          <w:szCs w:val="24"/>
        </w:rPr>
        <w:t>Ornsteen</w:t>
      </w:r>
      <w:proofErr w:type="spellEnd"/>
      <w:r>
        <w:rPr>
          <w:sz w:val="24"/>
          <w:szCs w:val="24"/>
        </w:rPr>
        <w:t xml:space="preserve"> Heel site by the Bradford MBTA commuter rail station.  This project, which opened last year, includes a new public park along the Merrimack River.  Further</w:t>
      </w:r>
      <w:r>
        <w:rPr>
          <w:sz w:val="24"/>
          <w:szCs w:val="24"/>
        </w:rPr>
        <w:t xml:space="preserve">more, a $4m </w:t>
      </w:r>
      <w:proofErr w:type="spellStart"/>
      <w:r>
        <w:rPr>
          <w:sz w:val="24"/>
          <w:szCs w:val="24"/>
        </w:rPr>
        <w:t>MassWorks</w:t>
      </w:r>
      <w:proofErr w:type="spellEnd"/>
      <w:r>
        <w:rPr>
          <w:sz w:val="24"/>
          <w:szCs w:val="24"/>
        </w:rPr>
        <w:t xml:space="preserve"> grant was obtained to design and construct a showcase public pedestrian plaza to augment $6.5 million in previous </w:t>
      </w:r>
      <w:proofErr w:type="spellStart"/>
      <w:r>
        <w:rPr>
          <w:sz w:val="24"/>
          <w:szCs w:val="24"/>
        </w:rPr>
        <w:t>MassWorks</w:t>
      </w:r>
      <w:proofErr w:type="spellEnd"/>
      <w:r>
        <w:rPr>
          <w:sz w:val="24"/>
          <w:szCs w:val="24"/>
        </w:rPr>
        <w:t xml:space="preserve"> funds for a replacement parking garage and transformative redevelopment of the former dilapidated Goecke Parking Deck.  Construction for the Garage and surroundings is underway.  </w:t>
      </w:r>
    </w:p>
    <w:p w14:paraId="7E43936B" w14:textId="77777777" w:rsidR="00E2285C" w:rsidRDefault="00730313">
      <w:pPr>
        <w:widowControl w:val="0"/>
        <w:spacing w:beforeAutospacing="1" w:afterAutospacing="1"/>
        <w:rPr>
          <w:sz w:val="24"/>
          <w:szCs w:val="24"/>
        </w:rPr>
      </w:pPr>
      <w:r>
        <w:rPr>
          <w:sz w:val="24"/>
          <w:szCs w:val="24"/>
        </w:rPr>
        <w:t>-MVP- The State's Municipal Vulnerability Program climate change grant of $1.47 million funded a study of the aging private Pentucket Mills dam and its contaminated sediment on the Little River near Lafayette Square, affecting the dam's likely removal, and delaying the redevelopment of this large mill complex. </w:t>
      </w:r>
    </w:p>
    <w:p w14:paraId="017B5A33" w14:textId="77777777" w:rsidR="00E2285C" w:rsidRDefault="00730313">
      <w:pPr>
        <w:widowControl w:val="0"/>
        <w:spacing w:beforeAutospacing="1" w:afterAutospacing="1"/>
        <w:rPr>
          <w:sz w:val="24"/>
          <w:szCs w:val="24"/>
        </w:rPr>
      </w:pPr>
      <w:r>
        <w:rPr>
          <w:sz w:val="24"/>
          <w:szCs w:val="24"/>
        </w:rPr>
        <w:lastRenderedPageBreak/>
        <w:t>-State legislative earmarks from the FY25 budget included important funds for: Riverside Park ($55,000 for park improvements including a new backstop at Puglielli Field);  MakeIT Haverhill ($50,000) for workforce development efforts in Mount Washington; Cogswell Arts Space ($50,000 for building improvements for Creative Haverhill); Somebody Cares Food Pantry ($50,000 for pantry operation); Haverhill Promise ($50,000 for youth literacy expansion efforts); City-owned Clement Farm ($25,000 for pedestrian bridg</w:t>
      </w:r>
      <w:r>
        <w:rPr>
          <w:sz w:val="24"/>
          <w:szCs w:val="24"/>
        </w:rPr>
        <w:t>e replacement at the disc golf course); Ruth's House ($20,000 for free clothing distribution); Boys + Girls Club ($15,000 for their new center capital campaign) and other programs and projects.</w:t>
      </w:r>
    </w:p>
    <w:p w14:paraId="74400069" w14:textId="77777777" w:rsidR="00E2285C" w:rsidRDefault="00730313">
      <w:pPr>
        <w:widowControl w:val="0"/>
        <w:spacing w:beforeAutospacing="1" w:afterAutospacing="1"/>
        <w:rPr>
          <w:sz w:val="24"/>
          <w:szCs w:val="24"/>
        </w:rPr>
      </w:pPr>
      <w:r>
        <w:rPr>
          <w:sz w:val="24"/>
          <w:szCs w:val="24"/>
        </w:rPr>
        <w:t xml:space="preserve">-The City is utilizing $700,000 in </w:t>
      </w:r>
      <w:proofErr w:type="gramStart"/>
      <w:r>
        <w:rPr>
          <w:sz w:val="24"/>
          <w:szCs w:val="24"/>
        </w:rPr>
        <w:t>Congressionally-Directed</w:t>
      </w:r>
      <w:proofErr w:type="gramEnd"/>
      <w:r>
        <w:rPr>
          <w:sz w:val="24"/>
          <w:szCs w:val="24"/>
        </w:rPr>
        <w:t xml:space="preserve"> Funding Economic Development Initiative (CDF-EDI) funds through HUD for improvements to the grounds at the </w:t>
      </w:r>
      <w:proofErr w:type="spellStart"/>
      <w:r>
        <w:rPr>
          <w:sz w:val="24"/>
          <w:szCs w:val="24"/>
        </w:rPr>
        <w:t>Winnekenni</w:t>
      </w:r>
      <w:proofErr w:type="spellEnd"/>
      <w:r>
        <w:rPr>
          <w:sz w:val="24"/>
          <w:szCs w:val="24"/>
        </w:rPr>
        <w:t xml:space="preserve"> Recreation Area.  New CDF-EDI funds have been announced for a new City water well project.</w:t>
      </w:r>
    </w:p>
    <w:p w14:paraId="565CAA97" w14:textId="77777777" w:rsidR="00E2285C" w:rsidRDefault="00730313">
      <w:pPr>
        <w:widowControl w:val="0"/>
        <w:spacing w:beforeAutospacing="1" w:afterAutospacing="1"/>
        <w:rPr>
          <w:sz w:val="24"/>
          <w:szCs w:val="24"/>
        </w:rPr>
      </w:pPr>
      <w:r>
        <w:rPr>
          <w:sz w:val="24"/>
          <w:szCs w:val="24"/>
        </w:rPr>
        <w:t xml:space="preserve">-Safe Streets for All- This program has 2 grant projects underway in Haverhill totaling over $575,000, to improve pedestrian infrastructure along Main Street/Route 125 near Downtown as well as by </w:t>
      </w:r>
      <w:proofErr w:type="gramStart"/>
      <w:r>
        <w:rPr>
          <w:sz w:val="24"/>
          <w:szCs w:val="24"/>
        </w:rPr>
        <w:t>the Columbia</w:t>
      </w:r>
      <w:proofErr w:type="gramEnd"/>
      <w:r>
        <w:rPr>
          <w:sz w:val="24"/>
          <w:szCs w:val="24"/>
        </w:rPr>
        <w:t xml:space="preserve"> Park affordable housing project by the Acre.</w:t>
      </w:r>
    </w:p>
    <w:p w14:paraId="3C093E32" w14:textId="77777777" w:rsidR="00E2285C" w:rsidRDefault="00730313">
      <w:pPr>
        <w:widowControl w:val="0"/>
        <w:spacing w:beforeAutospacing="1" w:afterAutospacing="1"/>
        <w:rPr>
          <w:sz w:val="24"/>
          <w:szCs w:val="24"/>
        </w:rPr>
      </w:pPr>
      <w:r>
        <w:rPr>
          <w:sz w:val="24"/>
          <w:szCs w:val="24"/>
        </w:rPr>
        <w:t>-LAND- The City obtained a State Land and Natural Diversity grant to purchase open space near Crystal Lake that will protect drinking water supply.</w:t>
      </w:r>
    </w:p>
    <w:p w14:paraId="49A3C7C0" w14:textId="77777777" w:rsidR="00E2285C" w:rsidRDefault="00730313">
      <w:pPr>
        <w:widowControl w:val="0"/>
        <w:spacing w:beforeAutospacing="1" w:afterAutospacing="1"/>
        <w:rPr>
          <w:sz w:val="24"/>
          <w:szCs w:val="24"/>
        </w:rPr>
      </w:pPr>
      <w:r>
        <w:rPr>
          <w:sz w:val="24"/>
          <w:szCs w:val="24"/>
        </w:rPr>
        <w:t>-American Rescue Plan (ARP)- see attachment in 'Other Actions' section.</w:t>
      </w:r>
    </w:p>
    <w:p w14:paraId="2B32E472" w14:textId="77777777" w:rsidR="00E2285C" w:rsidRDefault="00730313">
      <w:pPr>
        <w:widowControl w:val="0"/>
        <w:spacing w:beforeAutospacing="1" w:afterAutospacing="1"/>
        <w:rPr>
          <w:sz w:val="24"/>
          <w:szCs w:val="24"/>
        </w:rPr>
      </w:pPr>
      <w:r>
        <w:rPr>
          <w:sz w:val="24"/>
          <w:szCs w:val="24"/>
        </w:rPr>
        <w:t>-Lead Hazards Capacity Building Grant- see attachment in 'Other Actions' section.</w:t>
      </w:r>
    </w:p>
    <w:p w14:paraId="5A72BF21" w14:textId="77777777" w:rsidR="00E2285C" w:rsidRDefault="00730313">
      <w:pPr>
        <w:widowControl w:val="0"/>
        <w:spacing w:beforeAutospacing="1" w:afterAutospacing="1"/>
        <w:rPr>
          <w:sz w:val="24"/>
          <w:szCs w:val="24"/>
        </w:rPr>
      </w:pPr>
      <w:r>
        <w:rPr>
          <w:i/>
          <w:sz w:val="24"/>
          <w:szCs w:val="24"/>
        </w:rPr>
        <w:t> </w:t>
      </w:r>
    </w:p>
    <w:p w14:paraId="7F1B4D65" w14:textId="77777777" w:rsidR="00FE3457" w:rsidRDefault="00FE3457">
      <w:pPr>
        <w:widowControl w:val="0"/>
        <w:spacing w:after="0" w:line="240" w:lineRule="auto"/>
        <w:rPr>
          <w:sz w:val="24"/>
          <w:szCs w:val="24"/>
        </w:rPr>
      </w:pPr>
    </w:p>
    <w:p w14:paraId="557517EC" w14:textId="77777777" w:rsidR="00FE3457" w:rsidRDefault="00FE3457">
      <w:pPr>
        <w:spacing w:after="0" w:line="240" w:lineRule="auto"/>
      </w:pPr>
      <w:bookmarkStart w:id="1" w:name="_Toc309810475"/>
    </w:p>
    <w:p w14:paraId="082398DF" w14:textId="77777777" w:rsidR="00FE3457" w:rsidRDefault="00FE3457">
      <w:pPr>
        <w:sectPr w:rsidR="00FE3457">
          <w:pgSz w:w="12240" w:h="15840" w:code="1"/>
          <w:pgMar w:top="1440" w:right="1440" w:bottom="1440" w:left="1440" w:header="720" w:footer="720" w:gutter="0"/>
          <w:cols w:space="720"/>
          <w:docGrid w:linePitch="360"/>
        </w:sectPr>
      </w:pPr>
    </w:p>
    <w:p w14:paraId="58AC5836" w14:textId="77777777" w:rsidR="00FE3457" w:rsidRDefault="005268B9">
      <w:pPr>
        <w:pStyle w:val="Heading2"/>
        <w:rPr>
          <w:rFonts w:ascii="Calibri" w:hAnsi="Calibri"/>
          <w:i w:val="0"/>
        </w:rPr>
      </w:pPr>
      <w:r>
        <w:rPr>
          <w:rFonts w:ascii="Calibri" w:hAnsi="Calibri"/>
          <w:i w:val="0"/>
        </w:rPr>
        <w:lastRenderedPageBreak/>
        <w:t>CR-20 - Affordable Housing 91.520(b)</w:t>
      </w:r>
    </w:p>
    <w:p w14:paraId="66C0E81B" w14:textId="77777777" w:rsidR="00FE3457" w:rsidRDefault="005268B9">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11954182" w14:textId="77777777" w:rsidR="00FE3457" w:rsidRDefault="00FE3457">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FE3457" w14:paraId="74BB4E01" w14:textId="77777777">
        <w:trPr>
          <w:cantSplit/>
          <w:tblHeader/>
        </w:trPr>
        <w:tc>
          <w:tcPr>
            <w:tcW w:w="4293" w:type="dxa"/>
          </w:tcPr>
          <w:p w14:paraId="25FEC8B5" w14:textId="77777777" w:rsidR="00FE3457" w:rsidRDefault="00FE3457">
            <w:pPr>
              <w:pStyle w:val="Caption"/>
              <w:keepNext/>
              <w:widowControl w:val="0"/>
              <w:jc w:val="center"/>
              <w:rPr>
                <w:rFonts w:ascii="Calibri" w:hAnsi="Calibri"/>
                <w:sz w:val="22"/>
                <w:szCs w:val="22"/>
              </w:rPr>
            </w:pPr>
          </w:p>
        </w:tc>
        <w:tc>
          <w:tcPr>
            <w:tcW w:w="2648" w:type="dxa"/>
          </w:tcPr>
          <w:p w14:paraId="3A668F3C" w14:textId="77777777" w:rsidR="00FE3457" w:rsidRDefault="005268B9">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B91D594" w14:textId="77777777" w:rsidR="00FE3457" w:rsidRDefault="005268B9">
            <w:pPr>
              <w:pStyle w:val="Caption"/>
              <w:keepNext/>
              <w:widowControl w:val="0"/>
              <w:jc w:val="center"/>
              <w:rPr>
                <w:rFonts w:ascii="Calibri" w:hAnsi="Calibri"/>
                <w:sz w:val="22"/>
                <w:szCs w:val="22"/>
              </w:rPr>
            </w:pPr>
            <w:r>
              <w:rPr>
                <w:rFonts w:ascii="Calibri" w:hAnsi="Calibri"/>
                <w:sz w:val="22"/>
                <w:szCs w:val="22"/>
              </w:rPr>
              <w:t>Actual</w:t>
            </w:r>
          </w:p>
        </w:tc>
      </w:tr>
      <w:tr w:rsidR="00E2285C" w14:paraId="7A86D423" w14:textId="77777777">
        <w:trPr>
          <w:cantSplit/>
        </w:trPr>
        <w:tc>
          <w:tcPr>
            <w:tcW w:w="4183" w:type="dxa"/>
            <w:vAlign w:val="bottom"/>
          </w:tcPr>
          <w:p w14:paraId="50AC61E4" w14:textId="77777777" w:rsidR="00E2285C" w:rsidRDefault="00730313">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583" w:type="dxa"/>
            <w:vAlign w:val="bottom"/>
          </w:tcPr>
          <w:p w14:paraId="00344677" w14:textId="77777777" w:rsidR="00E2285C" w:rsidRDefault="00730313">
            <w:pPr>
              <w:spacing w:beforeAutospacing="1" w:afterAutospacing="1"/>
              <w:jc w:val="right"/>
            </w:pPr>
            <w:r>
              <w:rPr>
                <w:color w:val="000000"/>
              </w:rPr>
              <w:t>433</w:t>
            </w:r>
          </w:p>
        </w:tc>
        <w:tc>
          <w:tcPr>
            <w:tcW w:w="2584" w:type="dxa"/>
            <w:vAlign w:val="bottom"/>
          </w:tcPr>
          <w:p w14:paraId="70800683" w14:textId="77777777" w:rsidR="00E2285C" w:rsidRDefault="00730313">
            <w:pPr>
              <w:spacing w:beforeAutospacing="1" w:afterAutospacing="1"/>
              <w:jc w:val="right"/>
            </w:pPr>
            <w:r>
              <w:rPr>
                <w:color w:val="000000"/>
              </w:rPr>
              <w:t>441</w:t>
            </w:r>
          </w:p>
        </w:tc>
      </w:tr>
      <w:tr w:rsidR="00E2285C" w14:paraId="381E4CDB" w14:textId="77777777">
        <w:trPr>
          <w:cantSplit/>
        </w:trPr>
        <w:tc>
          <w:tcPr>
            <w:tcW w:w="4183" w:type="dxa"/>
            <w:vAlign w:val="bottom"/>
          </w:tcPr>
          <w:p w14:paraId="21853761" w14:textId="77777777" w:rsidR="00E2285C" w:rsidRDefault="00730313">
            <w:pPr>
              <w:spacing w:beforeAutospacing="1" w:afterAutospacing="1"/>
            </w:pPr>
            <w:r>
              <w:rPr>
                <w:color w:val="000000"/>
              </w:rPr>
              <w:t xml:space="preserve">Number of Non-Homeless households to be </w:t>
            </w:r>
            <w:proofErr w:type="gramStart"/>
            <w:r>
              <w:rPr>
                <w:color w:val="000000"/>
              </w:rPr>
              <w:t>provided</w:t>
            </w:r>
            <w:proofErr w:type="gramEnd"/>
            <w:r>
              <w:rPr>
                <w:color w:val="000000"/>
              </w:rPr>
              <w:t xml:space="preserve"> affordable housing units</w:t>
            </w:r>
          </w:p>
        </w:tc>
        <w:tc>
          <w:tcPr>
            <w:tcW w:w="2583" w:type="dxa"/>
            <w:vAlign w:val="bottom"/>
          </w:tcPr>
          <w:p w14:paraId="0EAA570A" w14:textId="77777777" w:rsidR="00E2285C" w:rsidRDefault="00730313">
            <w:pPr>
              <w:spacing w:beforeAutospacing="1" w:afterAutospacing="1"/>
              <w:jc w:val="right"/>
            </w:pPr>
            <w:r>
              <w:rPr>
                <w:color w:val="000000"/>
              </w:rPr>
              <w:t>2,975</w:t>
            </w:r>
          </w:p>
        </w:tc>
        <w:tc>
          <w:tcPr>
            <w:tcW w:w="2584" w:type="dxa"/>
            <w:vAlign w:val="bottom"/>
          </w:tcPr>
          <w:p w14:paraId="37D9C318" w14:textId="77777777" w:rsidR="00E2285C" w:rsidRDefault="00730313">
            <w:pPr>
              <w:spacing w:beforeAutospacing="1" w:afterAutospacing="1"/>
              <w:jc w:val="right"/>
            </w:pPr>
            <w:r>
              <w:rPr>
                <w:color w:val="000000"/>
              </w:rPr>
              <w:t>3,416</w:t>
            </w:r>
          </w:p>
        </w:tc>
      </w:tr>
      <w:tr w:rsidR="00E2285C" w14:paraId="25AEC98D" w14:textId="77777777">
        <w:trPr>
          <w:cantSplit/>
        </w:trPr>
        <w:tc>
          <w:tcPr>
            <w:tcW w:w="4183" w:type="dxa"/>
            <w:vAlign w:val="bottom"/>
          </w:tcPr>
          <w:p w14:paraId="7D773EED" w14:textId="77777777" w:rsidR="00E2285C" w:rsidRDefault="00730313">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583" w:type="dxa"/>
            <w:vAlign w:val="bottom"/>
          </w:tcPr>
          <w:p w14:paraId="62B61457" w14:textId="77777777" w:rsidR="00E2285C" w:rsidRDefault="00730313">
            <w:pPr>
              <w:spacing w:beforeAutospacing="1" w:afterAutospacing="1"/>
              <w:jc w:val="right"/>
            </w:pPr>
            <w:r>
              <w:rPr>
                <w:color w:val="000000"/>
              </w:rPr>
              <w:t>2</w:t>
            </w:r>
          </w:p>
        </w:tc>
        <w:tc>
          <w:tcPr>
            <w:tcW w:w="2584" w:type="dxa"/>
            <w:vAlign w:val="bottom"/>
          </w:tcPr>
          <w:p w14:paraId="7E372C63" w14:textId="77777777" w:rsidR="00E2285C" w:rsidRDefault="00730313">
            <w:pPr>
              <w:spacing w:beforeAutospacing="1" w:afterAutospacing="1"/>
              <w:jc w:val="right"/>
            </w:pPr>
            <w:r>
              <w:rPr>
                <w:color w:val="000000"/>
              </w:rPr>
              <w:t>3</w:t>
            </w:r>
          </w:p>
        </w:tc>
      </w:tr>
      <w:tr w:rsidR="00E2285C" w14:paraId="233C715F" w14:textId="77777777">
        <w:trPr>
          <w:cantSplit/>
        </w:trPr>
        <w:tc>
          <w:tcPr>
            <w:tcW w:w="4183" w:type="dxa"/>
          </w:tcPr>
          <w:p w14:paraId="3D76FC2A" w14:textId="77777777" w:rsidR="00E2285C" w:rsidRDefault="00730313">
            <w:pPr>
              <w:spacing w:beforeAutospacing="1" w:afterAutospacing="1"/>
            </w:pPr>
            <w:r>
              <w:rPr>
                <w:b/>
                <w:color w:val="000000"/>
              </w:rPr>
              <w:t>Total</w:t>
            </w:r>
          </w:p>
        </w:tc>
        <w:tc>
          <w:tcPr>
            <w:tcW w:w="2583" w:type="dxa"/>
            <w:vAlign w:val="bottom"/>
          </w:tcPr>
          <w:p w14:paraId="18B4BE36" w14:textId="77777777" w:rsidR="00E2285C" w:rsidRDefault="00730313">
            <w:pPr>
              <w:spacing w:beforeAutospacing="1" w:afterAutospacing="1"/>
              <w:jc w:val="right"/>
            </w:pPr>
            <w:r>
              <w:rPr>
                <w:b/>
                <w:color w:val="000000"/>
              </w:rPr>
              <w:t>3,410</w:t>
            </w:r>
          </w:p>
        </w:tc>
        <w:tc>
          <w:tcPr>
            <w:tcW w:w="2584" w:type="dxa"/>
            <w:vAlign w:val="bottom"/>
          </w:tcPr>
          <w:p w14:paraId="68F1E71F" w14:textId="77777777" w:rsidR="00E2285C" w:rsidRDefault="00730313">
            <w:pPr>
              <w:spacing w:beforeAutospacing="1" w:afterAutospacing="1"/>
              <w:jc w:val="right"/>
            </w:pPr>
            <w:r>
              <w:rPr>
                <w:b/>
                <w:color w:val="000000"/>
              </w:rPr>
              <w:t>3,860</w:t>
            </w:r>
          </w:p>
        </w:tc>
      </w:tr>
    </w:tbl>
    <w:p w14:paraId="60D60C92"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0EAD2CB0" w14:textId="77777777" w:rsidR="00FE3457" w:rsidRDefault="00FE3457"/>
    <w:p w14:paraId="249801C7" w14:textId="77777777" w:rsidR="00FE3457" w:rsidRDefault="00FE3457"/>
    <w:p w14:paraId="7688FEB7" w14:textId="77777777" w:rsidR="00FE3457" w:rsidRDefault="00FE3457">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FE3457" w14:paraId="4312F68F" w14:textId="77777777">
        <w:trPr>
          <w:cantSplit/>
          <w:tblHeader/>
        </w:trPr>
        <w:tc>
          <w:tcPr>
            <w:tcW w:w="4293" w:type="dxa"/>
          </w:tcPr>
          <w:p w14:paraId="00A0A101" w14:textId="77777777" w:rsidR="00FE3457" w:rsidRDefault="00FE3457">
            <w:pPr>
              <w:pStyle w:val="Caption"/>
              <w:keepNext/>
              <w:widowControl w:val="0"/>
              <w:jc w:val="center"/>
              <w:rPr>
                <w:rFonts w:ascii="Calibri" w:hAnsi="Calibri"/>
                <w:sz w:val="22"/>
                <w:szCs w:val="22"/>
              </w:rPr>
            </w:pPr>
          </w:p>
        </w:tc>
        <w:tc>
          <w:tcPr>
            <w:tcW w:w="2648" w:type="dxa"/>
          </w:tcPr>
          <w:p w14:paraId="2D4D53D8" w14:textId="77777777" w:rsidR="00FE3457" w:rsidRDefault="005268B9">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A964CF5" w14:textId="77777777" w:rsidR="00FE3457" w:rsidRDefault="005268B9">
            <w:pPr>
              <w:pStyle w:val="Caption"/>
              <w:keepNext/>
              <w:widowControl w:val="0"/>
              <w:jc w:val="center"/>
              <w:rPr>
                <w:rFonts w:ascii="Calibri" w:hAnsi="Calibri"/>
                <w:sz w:val="22"/>
                <w:szCs w:val="22"/>
              </w:rPr>
            </w:pPr>
            <w:r>
              <w:rPr>
                <w:rFonts w:ascii="Calibri" w:hAnsi="Calibri"/>
                <w:sz w:val="22"/>
                <w:szCs w:val="22"/>
              </w:rPr>
              <w:t>Actual</w:t>
            </w:r>
          </w:p>
        </w:tc>
      </w:tr>
      <w:tr w:rsidR="00E2285C" w14:paraId="67B21B42" w14:textId="77777777">
        <w:trPr>
          <w:cantSplit/>
        </w:trPr>
        <w:tc>
          <w:tcPr>
            <w:tcW w:w="4183" w:type="dxa"/>
            <w:vAlign w:val="bottom"/>
          </w:tcPr>
          <w:p w14:paraId="498999D6" w14:textId="77777777" w:rsidR="00E2285C" w:rsidRDefault="00730313">
            <w:pPr>
              <w:spacing w:beforeAutospacing="1" w:afterAutospacing="1"/>
            </w:pPr>
            <w:r>
              <w:rPr>
                <w:color w:val="000000"/>
              </w:rPr>
              <w:t>Number of households supported through Rental Assistance</w:t>
            </w:r>
          </w:p>
        </w:tc>
        <w:tc>
          <w:tcPr>
            <w:tcW w:w="2583" w:type="dxa"/>
            <w:vAlign w:val="bottom"/>
          </w:tcPr>
          <w:p w14:paraId="3EDF8CA5" w14:textId="77777777" w:rsidR="00E2285C" w:rsidRDefault="00730313">
            <w:pPr>
              <w:spacing w:beforeAutospacing="1" w:afterAutospacing="1"/>
              <w:jc w:val="right"/>
            </w:pPr>
            <w:r>
              <w:rPr>
                <w:color w:val="000000"/>
              </w:rPr>
              <w:t>12</w:t>
            </w:r>
          </w:p>
        </w:tc>
        <w:tc>
          <w:tcPr>
            <w:tcW w:w="2584" w:type="dxa"/>
            <w:vAlign w:val="bottom"/>
          </w:tcPr>
          <w:p w14:paraId="212370FB" w14:textId="77777777" w:rsidR="00E2285C" w:rsidRDefault="00730313">
            <w:pPr>
              <w:spacing w:beforeAutospacing="1" w:afterAutospacing="1"/>
              <w:jc w:val="right"/>
            </w:pPr>
            <w:r>
              <w:rPr>
                <w:color w:val="000000"/>
              </w:rPr>
              <w:t>13</w:t>
            </w:r>
          </w:p>
        </w:tc>
      </w:tr>
      <w:tr w:rsidR="00E2285C" w14:paraId="59957FAA" w14:textId="77777777">
        <w:trPr>
          <w:cantSplit/>
        </w:trPr>
        <w:tc>
          <w:tcPr>
            <w:tcW w:w="4183" w:type="dxa"/>
            <w:vAlign w:val="bottom"/>
          </w:tcPr>
          <w:p w14:paraId="36CC9728" w14:textId="77777777" w:rsidR="00E2285C" w:rsidRDefault="00730313">
            <w:pPr>
              <w:spacing w:beforeAutospacing="1" w:afterAutospacing="1"/>
            </w:pPr>
            <w:r>
              <w:rPr>
                <w:color w:val="000000"/>
              </w:rPr>
              <w:t>Number of households supported through The Production of New Units</w:t>
            </w:r>
          </w:p>
        </w:tc>
        <w:tc>
          <w:tcPr>
            <w:tcW w:w="2583" w:type="dxa"/>
            <w:vAlign w:val="bottom"/>
          </w:tcPr>
          <w:p w14:paraId="61CFADC0" w14:textId="77777777" w:rsidR="00E2285C" w:rsidRDefault="00730313">
            <w:pPr>
              <w:spacing w:beforeAutospacing="1" w:afterAutospacing="1"/>
              <w:jc w:val="right"/>
            </w:pPr>
            <w:r>
              <w:rPr>
                <w:color w:val="000000"/>
              </w:rPr>
              <w:t>9</w:t>
            </w:r>
          </w:p>
        </w:tc>
        <w:tc>
          <w:tcPr>
            <w:tcW w:w="2584" w:type="dxa"/>
            <w:vAlign w:val="bottom"/>
          </w:tcPr>
          <w:p w14:paraId="77497EE1" w14:textId="77777777" w:rsidR="00E2285C" w:rsidRDefault="00730313">
            <w:pPr>
              <w:spacing w:beforeAutospacing="1" w:afterAutospacing="1"/>
              <w:jc w:val="right"/>
            </w:pPr>
            <w:r>
              <w:rPr>
                <w:color w:val="000000"/>
              </w:rPr>
              <w:t>1</w:t>
            </w:r>
          </w:p>
        </w:tc>
      </w:tr>
      <w:tr w:rsidR="00E2285C" w14:paraId="56B81158" w14:textId="77777777">
        <w:trPr>
          <w:cantSplit/>
        </w:trPr>
        <w:tc>
          <w:tcPr>
            <w:tcW w:w="4183" w:type="dxa"/>
            <w:vAlign w:val="bottom"/>
          </w:tcPr>
          <w:p w14:paraId="574F7566" w14:textId="77777777" w:rsidR="00E2285C" w:rsidRDefault="00730313">
            <w:pPr>
              <w:spacing w:beforeAutospacing="1" w:afterAutospacing="1"/>
            </w:pPr>
            <w:r>
              <w:rPr>
                <w:color w:val="000000"/>
              </w:rPr>
              <w:t>Number of households supported through Rehab of Existing Units</w:t>
            </w:r>
          </w:p>
        </w:tc>
        <w:tc>
          <w:tcPr>
            <w:tcW w:w="2583" w:type="dxa"/>
            <w:vAlign w:val="bottom"/>
          </w:tcPr>
          <w:p w14:paraId="1E579F53" w14:textId="77777777" w:rsidR="00E2285C" w:rsidRDefault="00730313">
            <w:pPr>
              <w:spacing w:beforeAutospacing="1" w:afterAutospacing="1"/>
              <w:jc w:val="right"/>
            </w:pPr>
            <w:r>
              <w:rPr>
                <w:color w:val="000000"/>
              </w:rPr>
              <w:t>32</w:t>
            </w:r>
          </w:p>
        </w:tc>
        <w:tc>
          <w:tcPr>
            <w:tcW w:w="2584" w:type="dxa"/>
            <w:vAlign w:val="bottom"/>
          </w:tcPr>
          <w:p w14:paraId="228801C1" w14:textId="77777777" w:rsidR="00E2285C" w:rsidRDefault="00730313">
            <w:pPr>
              <w:spacing w:beforeAutospacing="1" w:afterAutospacing="1"/>
              <w:jc w:val="right"/>
            </w:pPr>
            <w:r>
              <w:rPr>
                <w:color w:val="000000"/>
              </w:rPr>
              <w:t>26</w:t>
            </w:r>
          </w:p>
        </w:tc>
      </w:tr>
      <w:tr w:rsidR="00E2285C" w14:paraId="25991001" w14:textId="77777777">
        <w:trPr>
          <w:cantSplit/>
        </w:trPr>
        <w:tc>
          <w:tcPr>
            <w:tcW w:w="4183" w:type="dxa"/>
            <w:vAlign w:val="bottom"/>
          </w:tcPr>
          <w:p w14:paraId="6E7E3AB4" w14:textId="77777777" w:rsidR="00E2285C" w:rsidRDefault="00730313">
            <w:pPr>
              <w:spacing w:beforeAutospacing="1" w:afterAutospacing="1"/>
            </w:pPr>
            <w:r>
              <w:rPr>
                <w:color w:val="000000"/>
              </w:rPr>
              <w:t>Number of households supported through Acquisition of Existing Units</w:t>
            </w:r>
          </w:p>
        </w:tc>
        <w:tc>
          <w:tcPr>
            <w:tcW w:w="2583" w:type="dxa"/>
            <w:vAlign w:val="bottom"/>
          </w:tcPr>
          <w:p w14:paraId="7B9EEE25" w14:textId="77777777" w:rsidR="00E2285C" w:rsidRDefault="00730313">
            <w:pPr>
              <w:spacing w:beforeAutospacing="1" w:afterAutospacing="1"/>
              <w:jc w:val="right"/>
            </w:pPr>
            <w:r>
              <w:rPr>
                <w:color w:val="000000"/>
              </w:rPr>
              <w:t>18</w:t>
            </w:r>
          </w:p>
        </w:tc>
        <w:tc>
          <w:tcPr>
            <w:tcW w:w="2584" w:type="dxa"/>
            <w:vAlign w:val="bottom"/>
          </w:tcPr>
          <w:p w14:paraId="1B22EADE" w14:textId="77777777" w:rsidR="00E2285C" w:rsidRDefault="00730313">
            <w:pPr>
              <w:spacing w:beforeAutospacing="1" w:afterAutospacing="1"/>
              <w:jc w:val="right"/>
            </w:pPr>
            <w:r>
              <w:rPr>
                <w:color w:val="000000"/>
              </w:rPr>
              <w:t>0</w:t>
            </w:r>
          </w:p>
        </w:tc>
      </w:tr>
      <w:tr w:rsidR="00E2285C" w14:paraId="4253EA71" w14:textId="77777777">
        <w:trPr>
          <w:cantSplit/>
        </w:trPr>
        <w:tc>
          <w:tcPr>
            <w:tcW w:w="4183" w:type="dxa"/>
          </w:tcPr>
          <w:p w14:paraId="7C07C988" w14:textId="77777777" w:rsidR="00E2285C" w:rsidRDefault="00730313">
            <w:pPr>
              <w:spacing w:beforeAutospacing="1" w:afterAutospacing="1"/>
            </w:pPr>
            <w:r>
              <w:rPr>
                <w:b/>
                <w:color w:val="000000"/>
              </w:rPr>
              <w:t>Total</w:t>
            </w:r>
          </w:p>
        </w:tc>
        <w:tc>
          <w:tcPr>
            <w:tcW w:w="2583" w:type="dxa"/>
            <w:vAlign w:val="bottom"/>
          </w:tcPr>
          <w:p w14:paraId="51CB5812" w14:textId="77777777" w:rsidR="00E2285C" w:rsidRDefault="00730313">
            <w:pPr>
              <w:spacing w:beforeAutospacing="1" w:afterAutospacing="1"/>
              <w:jc w:val="right"/>
            </w:pPr>
            <w:r>
              <w:rPr>
                <w:b/>
                <w:color w:val="000000"/>
              </w:rPr>
              <w:t>71</w:t>
            </w:r>
          </w:p>
        </w:tc>
        <w:tc>
          <w:tcPr>
            <w:tcW w:w="2584" w:type="dxa"/>
            <w:vAlign w:val="bottom"/>
          </w:tcPr>
          <w:p w14:paraId="00FE9983" w14:textId="77777777" w:rsidR="00E2285C" w:rsidRDefault="00730313">
            <w:pPr>
              <w:spacing w:beforeAutospacing="1" w:afterAutospacing="1"/>
              <w:jc w:val="right"/>
            </w:pPr>
            <w:r>
              <w:rPr>
                <w:b/>
                <w:color w:val="000000"/>
              </w:rPr>
              <w:t>40</w:t>
            </w:r>
          </w:p>
        </w:tc>
      </w:tr>
    </w:tbl>
    <w:p w14:paraId="2855BF34"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7C94FE23" w14:textId="77777777" w:rsidR="00FE3457" w:rsidRDefault="00FE3457">
      <w:pPr>
        <w:rPr>
          <w:rFonts w:cs="Arial"/>
        </w:rPr>
      </w:pPr>
    </w:p>
    <w:p w14:paraId="7AE67328" w14:textId="77777777" w:rsidR="00FE3457" w:rsidRDefault="00FE3457">
      <w:pPr>
        <w:rPr>
          <w:rFonts w:cs="Arial"/>
        </w:rPr>
      </w:pPr>
    </w:p>
    <w:p w14:paraId="75DCBBD7" w14:textId="77777777" w:rsidR="00FE3457" w:rsidRDefault="005268B9">
      <w:pPr>
        <w:widowControl w:val="0"/>
        <w:spacing w:line="204" w:lineRule="auto"/>
        <w:rPr>
          <w:b/>
          <w:sz w:val="24"/>
          <w:szCs w:val="24"/>
        </w:rPr>
      </w:pPr>
      <w:r>
        <w:rPr>
          <w:b/>
          <w:sz w:val="24"/>
          <w:szCs w:val="24"/>
        </w:rPr>
        <w:t>Discuss the difference between goals and outcomes and problems encountered in meeting these goals.</w:t>
      </w:r>
    </w:p>
    <w:p w14:paraId="301F201E" w14:textId="77777777" w:rsidR="00E2285C" w:rsidRDefault="00730313">
      <w:pPr>
        <w:spacing w:beforeAutospacing="1" w:afterAutospacing="1"/>
        <w:rPr>
          <w:rFonts w:cs="Arial"/>
        </w:rPr>
      </w:pPr>
      <w:r>
        <w:rPr>
          <w:rFonts w:cs="Arial"/>
        </w:rPr>
        <w:t xml:space="preserve">In some cases, inflationary cost pressures added over a million dollars onto construction budgets of medium range multi-family housing projects. The devastating result of this dynamic is the lack of new units of housing produced in this past Program Year.  There are </w:t>
      </w:r>
      <w:proofErr w:type="gramStart"/>
      <w:r>
        <w:rPr>
          <w:rFonts w:cs="Arial"/>
        </w:rPr>
        <w:t>a number of</w:t>
      </w:r>
      <w:proofErr w:type="gramEnd"/>
      <w:r>
        <w:rPr>
          <w:rFonts w:cs="Arial"/>
        </w:rPr>
        <w:t xml:space="preserve"> projects that have commenced but have not been completed.</w:t>
      </w:r>
      <w:r>
        <w:rPr>
          <w:rFonts w:cs="Arial"/>
          <w:i/>
        </w:rPr>
        <w:t> </w:t>
      </w:r>
    </w:p>
    <w:p w14:paraId="351FDFDD" w14:textId="77777777" w:rsidR="00E2285C" w:rsidRDefault="00730313">
      <w:pPr>
        <w:spacing w:beforeAutospacing="1" w:afterAutospacing="1"/>
        <w:rPr>
          <w:rFonts w:cs="Arial"/>
        </w:rPr>
      </w:pPr>
      <w:r>
        <w:rPr>
          <w:rFonts w:cs="Arial"/>
        </w:rPr>
        <w:lastRenderedPageBreak/>
        <w:t>Rebuilding Together traditionally rehabilitates housing units for low-income elderly residents at the end of every April.  Fortunately, this Activity has improved from Pandemic-era struggles.  Over the past two years, Rebuilding Together has recovered to assist 11 projects out of the 14 planned over this period, even exceeding its goal for PY24.</w:t>
      </w:r>
      <w:r>
        <w:rPr>
          <w:rFonts w:cs="Arial"/>
          <w:i/>
        </w:rPr>
        <w:br/>
      </w:r>
    </w:p>
    <w:p w14:paraId="22DBE745" w14:textId="77777777" w:rsidR="00E2285C" w:rsidRDefault="00730313">
      <w:pPr>
        <w:spacing w:beforeAutospacing="1" w:afterAutospacing="1"/>
        <w:rPr>
          <w:rFonts w:cs="Arial"/>
        </w:rPr>
      </w:pPr>
      <w:r>
        <w:rPr>
          <w:rFonts w:cs="Arial"/>
        </w:rPr>
        <w:t xml:space="preserve">The City's support of two Saint Vincent </w:t>
      </w:r>
      <w:proofErr w:type="spellStart"/>
      <w:r>
        <w:rPr>
          <w:rFonts w:cs="Arial"/>
        </w:rPr>
        <w:t>dePaul</w:t>
      </w:r>
      <w:proofErr w:type="spellEnd"/>
      <w:r>
        <w:rPr>
          <w:rFonts w:cs="Arial"/>
        </w:rPr>
        <w:t xml:space="preserve"> rental/utility assistance programs (one in Mount Washington, one in the Acre) was ultimately highly productive, with 31 households receiving this critical support (against a goal of 21).</w:t>
      </w:r>
    </w:p>
    <w:p w14:paraId="69440E91" w14:textId="77777777" w:rsidR="00E2285C" w:rsidRDefault="00730313">
      <w:pPr>
        <w:spacing w:beforeAutospacing="1" w:afterAutospacing="1"/>
        <w:rPr>
          <w:rFonts w:cs="Arial"/>
        </w:rPr>
      </w:pPr>
      <w:r>
        <w:rPr>
          <w:rFonts w:cs="Arial"/>
        </w:rPr>
        <w:t>In terms of housing rehabilitation, a good chunk of this past program year was expended finishing prior projects previously counted, so while only 17 unduplicated new projects were counted, around 8 rehab projects were prior year activities that were eventually completed.</w:t>
      </w:r>
    </w:p>
    <w:p w14:paraId="72EFBBF8" w14:textId="77777777" w:rsidR="00E2285C" w:rsidRDefault="00730313">
      <w:pPr>
        <w:spacing w:beforeAutospacing="1" w:afterAutospacing="1"/>
        <w:rPr>
          <w:rFonts w:cs="Arial"/>
        </w:rPr>
      </w:pPr>
      <w:r>
        <w:rPr>
          <w:rFonts w:cs="Arial"/>
        </w:rPr>
        <w:t xml:space="preserve">The Homeless numbers cited above seem </w:t>
      </w:r>
      <w:proofErr w:type="gramStart"/>
      <w:r>
        <w:rPr>
          <w:rFonts w:cs="Arial"/>
        </w:rPr>
        <w:t>high, but</w:t>
      </w:r>
      <w:proofErr w:type="gramEnd"/>
      <w:r>
        <w:rPr>
          <w:rFonts w:cs="Arial"/>
        </w:rPr>
        <w:t xml:space="preserve"> include many individuals who received a triaged continuum of services in the morning, afternoon and evenings with three different agencies (CAI's </w:t>
      </w:r>
      <w:proofErr w:type="gramStart"/>
      <w:r>
        <w:rPr>
          <w:rFonts w:cs="Arial"/>
        </w:rPr>
        <w:t>Drop In</w:t>
      </w:r>
      <w:proofErr w:type="gramEnd"/>
      <w:r>
        <w:rPr>
          <w:rFonts w:cs="Arial"/>
        </w:rPr>
        <w:t xml:space="preserve"> Center in the morning, Common Ground's Cafe in the afternoon and Emmaus' Mitch's Place shelter in the evening and overnight.  These total figures are largely divisible by 3.</w:t>
      </w:r>
    </w:p>
    <w:p w14:paraId="720B1D7D" w14:textId="77777777" w:rsidR="00E2285C" w:rsidRDefault="00730313">
      <w:pPr>
        <w:spacing w:beforeAutospacing="1" w:afterAutospacing="1"/>
        <w:rPr>
          <w:rFonts w:cs="Arial"/>
        </w:rPr>
      </w:pPr>
      <w:r>
        <w:rPr>
          <w:rFonts w:cs="Arial"/>
        </w:rPr>
        <w:t>Some large market rate developments such as the Beck and the James opened this past year, creating over 350 new rental units combined, but almost none considered Affordable.</w:t>
      </w:r>
    </w:p>
    <w:p w14:paraId="2F77431E" w14:textId="77777777" w:rsidR="00FE3457" w:rsidRDefault="005268B9">
      <w:pPr>
        <w:widowControl w:val="0"/>
        <w:spacing w:line="204" w:lineRule="auto"/>
        <w:rPr>
          <w:b/>
          <w:sz w:val="24"/>
          <w:szCs w:val="24"/>
        </w:rPr>
      </w:pPr>
      <w:r>
        <w:rPr>
          <w:b/>
          <w:sz w:val="24"/>
          <w:szCs w:val="24"/>
        </w:rPr>
        <w:t>Discuss how these outcomes will impact future annual action plans.</w:t>
      </w:r>
    </w:p>
    <w:p w14:paraId="0D568F5F" w14:textId="77777777" w:rsidR="00E2285C" w:rsidRDefault="00730313">
      <w:pPr>
        <w:spacing w:beforeAutospacing="1" w:afterAutospacing="1"/>
        <w:rPr>
          <w:rFonts w:cs="Arial"/>
        </w:rPr>
      </w:pPr>
      <w:r>
        <w:rPr>
          <w:rFonts w:cs="Arial"/>
        </w:rPr>
        <w:t>The Coronavirus Pandemic exacerbated a preexisting housing crisis and delayed many housing construction projects, which affected and complicated future annual planning efforts.  The Housing Production Plan was updated from 2025-2030 to reflect these conditions.  The after-effects of coronavirus also put a squeeze on the HRCCP to achieve its Consolidated Planning goal targets.  Pent-up/delayed housing rehab work will create demand that features much higher average cost per project. </w:t>
      </w:r>
    </w:p>
    <w:p w14:paraId="4CC6EF33" w14:textId="77777777" w:rsidR="00E2285C" w:rsidRDefault="00730313">
      <w:pPr>
        <w:spacing w:beforeAutospacing="1" w:afterAutospacing="1"/>
        <w:rPr>
          <w:rFonts w:cs="Arial"/>
        </w:rPr>
      </w:pPr>
      <w:r>
        <w:rPr>
          <w:rFonts w:cs="Arial"/>
        </w:rPr>
        <w:t>In terms of affordable housing production, the City's 2020 Census-adjusted rate of 9.92% affordable and subsidized housing units from its overall housing stock no longer satisfies the Commonwealth's Chapter 40B affordable housing requirements and goals of 10%, falling just shy of the mark. Addition of the completed 48 Merrimack Corner (</w:t>
      </w:r>
      <w:proofErr w:type="spellStart"/>
      <w:r>
        <w:rPr>
          <w:rFonts w:cs="Arial"/>
        </w:rPr>
        <w:t>Merrivista</w:t>
      </w:r>
      <w:proofErr w:type="spellEnd"/>
      <w:r>
        <w:rPr>
          <w:rFonts w:cs="Arial"/>
        </w:rPr>
        <w:t xml:space="preserve"> expansion) senior units helped get the City extremely close to the threshold.</w:t>
      </w:r>
      <w:r>
        <w:rPr>
          <w:rFonts w:cs="Arial"/>
          <w:i/>
        </w:rPr>
        <w:t xml:space="preserve">  </w:t>
      </w:r>
      <w:r>
        <w:rPr>
          <w:rFonts w:cs="Arial"/>
        </w:rPr>
        <w:t>This revised figure, which includes an updated denominator in terms of total housing units, threatens the ability of the City to maintain control of its land use, further increasing the priority of developing future affordable housing.  However, most of the larger new developments currently under construction are exclusively market rate (pre-Inclusionary Zoning), which will drop the City even further below 40B targets.</w:t>
      </w:r>
      <w:r>
        <w:rPr>
          <w:rFonts w:cs="Arial"/>
        </w:rPr>
        <w:t xml:space="preserve"> The City did update its 2025-2030 Housing Production Plan to become a new 5-year guide to drive development of additional housing and especially </w:t>
      </w:r>
      <w:proofErr w:type="gramStart"/>
      <w:r>
        <w:rPr>
          <w:rFonts w:cs="Arial"/>
        </w:rPr>
        <w:t>badly-needed</w:t>
      </w:r>
      <w:proofErr w:type="gramEnd"/>
      <w:r>
        <w:rPr>
          <w:rFonts w:cs="Arial"/>
        </w:rPr>
        <w:t xml:space="preserve"> affordable housing, targeting certain nodes and areas of the city where housing would be more compatible with infrastructure needs and neighborhood characteristics.  City legislative passage in 2023 of new housing </w:t>
      </w:r>
      <w:r>
        <w:rPr>
          <w:rFonts w:cs="Arial"/>
        </w:rPr>
        <w:lastRenderedPageBreak/>
        <w:t xml:space="preserve">reforms-- loosening restrictions on production of Accessory Dwelling Units (ADUs), and mandating inclusion of affordable units into larger </w:t>
      </w:r>
      <w:r>
        <w:rPr>
          <w:rFonts w:cs="Arial"/>
        </w:rPr>
        <w:t xml:space="preserve">housing projects over 10 units or mandating contributions to an Affordable Housing Trust (Inclusionary </w:t>
      </w:r>
      <w:proofErr w:type="gramStart"/>
      <w:r>
        <w:rPr>
          <w:rFonts w:cs="Arial"/>
        </w:rPr>
        <w:t>Zoning)--</w:t>
      </w:r>
      <w:proofErr w:type="gramEnd"/>
      <w:r>
        <w:rPr>
          <w:rFonts w:cs="Arial"/>
        </w:rPr>
        <w:t xml:space="preserve"> should help.  Little has squelched the demand for housing, especially affordable units.  NOTE: There was already an estimated </w:t>
      </w:r>
      <w:proofErr w:type="gramStart"/>
      <w:r>
        <w:rPr>
          <w:rFonts w:cs="Arial"/>
        </w:rPr>
        <w:t>250-300 unit</w:t>
      </w:r>
      <w:proofErr w:type="gramEnd"/>
      <w:r>
        <w:rPr>
          <w:rFonts w:cs="Arial"/>
        </w:rPr>
        <w:t xml:space="preserve"> shortage in permanent housing units in Haverhill for </w:t>
      </w:r>
      <w:proofErr w:type="gramStart"/>
      <w:r>
        <w:rPr>
          <w:rFonts w:cs="Arial"/>
        </w:rPr>
        <w:t>very-low</w:t>
      </w:r>
      <w:proofErr w:type="gramEnd"/>
      <w:r>
        <w:rPr>
          <w:rFonts w:cs="Arial"/>
        </w:rPr>
        <w:t>-income households (under 30% AMI) heading into the 2020s.</w:t>
      </w:r>
    </w:p>
    <w:p w14:paraId="06D36081" w14:textId="77777777" w:rsidR="00E2285C" w:rsidRDefault="00730313">
      <w:pPr>
        <w:spacing w:beforeAutospacing="1" w:afterAutospacing="1"/>
        <w:rPr>
          <w:rFonts w:cs="Arial"/>
        </w:rPr>
      </w:pPr>
      <w:r>
        <w:rPr>
          <w:rFonts w:cs="Arial"/>
        </w:rPr>
        <w:t xml:space="preserve">As previously noted, the lack of housing and affordable housing puts </w:t>
      </w:r>
      <w:proofErr w:type="gramStart"/>
      <w:r>
        <w:rPr>
          <w:rFonts w:cs="Arial"/>
        </w:rPr>
        <w:t>strains</w:t>
      </w:r>
      <w:proofErr w:type="gramEnd"/>
      <w:r>
        <w:rPr>
          <w:rFonts w:cs="Arial"/>
        </w:rPr>
        <w:t xml:space="preserve"> on households' budgets.  Over one-third of all Haverhill residents (and over one-half --51%--of renters!) are officially considered cost-burdened, with more than 30% of their </w:t>
      </w:r>
      <w:proofErr w:type="gramStart"/>
      <w:r>
        <w:rPr>
          <w:rFonts w:cs="Arial"/>
        </w:rPr>
        <w:t>incomes</w:t>
      </w:r>
      <w:proofErr w:type="gramEnd"/>
      <w:r>
        <w:rPr>
          <w:rFonts w:cs="Arial"/>
        </w:rPr>
        <w:t xml:space="preserve"> being consumed on housing.  </w:t>
      </w:r>
      <w:proofErr w:type="gramStart"/>
      <w:r>
        <w:rPr>
          <w:rFonts w:cs="Arial"/>
        </w:rPr>
        <w:t>This dynamic drives</w:t>
      </w:r>
      <w:proofErr w:type="gramEnd"/>
      <w:r>
        <w:rPr>
          <w:rFonts w:cs="Arial"/>
        </w:rPr>
        <w:t xml:space="preserve"> increased demand for Public Services and non-housing needs that will impact </w:t>
      </w:r>
      <w:proofErr w:type="gramStart"/>
      <w:r>
        <w:rPr>
          <w:rFonts w:cs="Arial"/>
        </w:rPr>
        <w:t>future Plans</w:t>
      </w:r>
      <w:proofErr w:type="gramEnd"/>
      <w:r>
        <w:rPr>
          <w:rFonts w:cs="Arial"/>
        </w:rPr>
        <w:t>.</w:t>
      </w:r>
    </w:p>
    <w:p w14:paraId="7629FAB2" w14:textId="77777777" w:rsidR="00FE3457" w:rsidRDefault="005268B9">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43836398" w14:textId="77777777" w:rsidR="00FE3457" w:rsidRDefault="00FE3457">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FE3457" w14:paraId="581449D4" w14:textId="77777777">
        <w:trPr>
          <w:cantSplit/>
        </w:trPr>
        <w:tc>
          <w:tcPr>
            <w:tcW w:w="4081" w:type="dxa"/>
          </w:tcPr>
          <w:p w14:paraId="22908B79" w14:textId="77777777" w:rsidR="00FE3457" w:rsidRDefault="005268B9">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1E435EDA" w14:textId="77777777" w:rsidR="00FE3457" w:rsidRDefault="005268B9">
            <w:pPr>
              <w:keepNext/>
              <w:widowControl w:val="0"/>
              <w:spacing w:after="0" w:line="240" w:lineRule="auto"/>
              <w:jc w:val="center"/>
              <w:rPr>
                <w:b/>
              </w:rPr>
            </w:pPr>
            <w:r>
              <w:rPr>
                <w:b/>
              </w:rPr>
              <w:t>CDBG Actual</w:t>
            </w:r>
          </w:p>
        </w:tc>
        <w:tc>
          <w:tcPr>
            <w:tcW w:w="1915" w:type="dxa"/>
            <w:gridSpan w:val="2"/>
          </w:tcPr>
          <w:p w14:paraId="199A8606" w14:textId="77777777" w:rsidR="00FE3457" w:rsidRDefault="005268B9">
            <w:pPr>
              <w:keepNext/>
              <w:widowControl w:val="0"/>
              <w:spacing w:after="0" w:line="240" w:lineRule="auto"/>
              <w:jc w:val="center"/>
              <w:rPr>
                <w:b/>
              </w:rPr>
            </w:pPr>
            <w:r>
              <w:rPr>
                <w:b/>
              </w:rPr>
              <w:t>HOME Actual</w:t>
            </w:r>
          </w:p>
        </w:tc>
      </w:tr>
      <w:tr w:rsidR="00E2285C" w14:paraId="7AEFCC8D" w14:textId="77777777">
        <w:trPr>
          <w:gridAfter w:val="1"/>
          <w:wAfter w:w="25" w:type="dxa"/>
          <w:cantSplit/>
        </w:trPr>
        <w:tc>
          <w:tcPr>
            <w:tcW w:w="4081" w:type="dxa"/>
            <w:vAlign w:val="bottom"/>
          </w:tcPr>
          <w:p w14:paraId="1D6125F4" w14:textId="77777777" w:rsidR="00E2285C" w:rsidRDefault="00730313">
            <w:pPr>
              <w:spacing w:beforeAutospacing="1" w:afterAutospacing="1"/>
            </w:pPr>
            <w:r>
              <w:rPr>
                <w:color w:val="000000"/>
              </w:rPr>
              <w:t>Extremely Low-income</w:t>
            </w:r>
          </w:p>
        </w:tc>
        <w:tc>
          <w:tcPr>
            <w:tcW w:w="1859" w:type="dxa"/>
            <w:vAlign w:val="bottom"/>
          </w:tcPr>
          <w:p w14:paraId="32F9D69C" w14:textId="77777777" w:rsidR="00E2285C" w:rsidRDefault="00730313">
            <w:pPr>
              <w:spacing w:beforeAutospacing="1" w:afterAutospacing="1"/>
              <w:jc w:val="right"/>
            </w:pPr>
            <w:r>
              <w:rPr>
                <w:color w:val="000000"/>
              </w:rPr>
              <w:t>20</w:t>
            </w:r>
          </w:p>
        </w:tc>
        <w:tc>
          <w:tcPr>
            <w:tcW w:w="1890" w:type="dxa"/>
            <w:vAlign w:val="bottom"/>
          </w:tcPr>
          <w:p w14:paraId="35AAF7C3" w14:textId="77777777" w:rsidR="00E2285C" w:rsidRDefault="00730313">
            <w:pPr>
              <w:spacing w:beforeAutospacing="1" w:afterAutospacing="1"/>
              <w:jc w:val="right"/>
            </w:pPr>
            <w:r>
              <w:rPr>
                <w:color w:val="000000"/>
              </w:rPr>
              <w:t>0</w:t>
            </w:r>
          </w:p>
        </w:tc>
      </w:tr>
      <w:tr w:rsidR="00E2285C" w14:paraId="6176071B" w14:textId="77777777">
        <w:trPr>
          <w:gridAfter w:val="1"/>
          <w:wAfter w:w="25" w:type="dxa"/>
          <w:cantSplit/>
        </w:trPr>
        <w:tc>
          <w:tcPr>
            <w:tcW w:w="4081" w:type="dxa"/>
            <w:vAlign w:val="bottom"/>
          </w:tcPr>
          <w:p w14:paraId="5C873FD2" w14:textId="77777777" w:rsidR="00E2285C" w:rsidRDefault="00730313">
            <w:pPr>
              <w:spacing w:beforeAutospacing="1" w:afterAutospacing="1"/>
            </w:pPr>
            <w:r>
              <w:rPr>
                <w:color w:val="000000"/>
              </w:rPr>
              <w:t>Low-income</w:t>
            </w:r>
          </w:p>
        </w:tc>
        <w:tc>
          <w:tcPr>
            <w:tcW w:w="1859" w:type="dxa"/>
            <w:vAlign w:val="bottom"/>
          </w:tcPr>
          <w:p w14:paraId="4BA84C35" w14:textId="77777777" w:rsidR="00E2285C" w:rsidRDefault="00730313">
            <w:pPr>
              <w:spacing w:beforeAutospacing="1" w:afterAutospacing="1"/>
              <w:jc w:val="right"/>
            </w:pPr>
            <w:r>
              <w:rPr>
                <w:color w:val="000000"/>
              </w:rPr>
              <w:t>21</w:t>
            </w:r>
          </w:p>
        </w:tc>
        <w:tc>
          <w:tcPr>
            <w:tcW w:w="1890" w:type="dxa"/>
            <w:vAlign w:val="bottom"/>
          </w:tcPr>
          <w:p w14:paraId="12805CD5" w14:textId="77777777" w:rsidR="00E2285C" w:rsidRDefault="00730313">
            <w:pPr>
              <w:spacing w:beforeAutospacing="1" w:afterAutospacing="1"/>
              <w:jc w:val="right"/>
            </w:pPr>
            <w:r>
              <w:rPr>
                <w:color w:val="000000"/>
              </w:rPr>
              <w:t>0</w:t>
            </w:r>
          </w:p>
        </w:tc>
      </w:tr>
      <w:tr w:rsidR="00E2285C" w14:paraId="3587380B" w14:textId="77777777">
        <w:trPr>
          <w:gridAfter w:val="1"/>
          <w:wAfter w:w="25" w:type="dxa"/>
          <w:cantSplit/>
        </w:trPr>
        <w:tc>
          <w:tcPr>
            <w:tcW w:w="4081" w:type="dxa"/>
            <w:vAlign w:val="bottom"/>
          </w:tcPr>
          <w:p w14:paraId="07FB8BB3" w14:textId="77777777" w:rsidR="00E2285C" w:rsidRDefault="00730313">
            <w:pPr>
              <w:spacing w:beforeAutospacing="1" w:afterAutospacing="1"/>
            </w:pPr>
            <w:r>
              <w:rPr>
                <w:color w:val="000000"/>
              </w:rPr>
              <w:t>Moderate-income</w:t>
            </w:r>
          </w:p>
        </w:tc>
        <w:tc>
          <w:tcPr>
            <w:tcW w:w="1859" w:type="dxa"/>
            <w:vAlign w:val="bottom"/>
          </w:tcPr>
          <w:p w14:paraId="582B134A" w14:textId="77777777" w:rsidR="00E2285C" w:rsidRDefault="00730313">
            <w:pPr>
              <w:spacing w:beforeAutospacing="1" w:afterAutospacing="1"/>
              <w:jc w:val="right"/>
            </w:pPr>
            <w:r>
              <w:rPr>
                <w:color w:val="000000"/>
              </w:rPr>
              <w:t>22</w:t>
            </w:r>
          </w:p>
        </w:tc>
        <w:tc>
          <w:tcPr>
            <w:tcW w:w="1890" w:type="dxa"/>
            <w:vAlign w:val="bottom"/>
          </w:tcPr>
          <w:p w14:paraId="078FDFBE" w14:textId="77777777" w:rsidR="00E2285C" w:rsidRDefault="00730313">
            <w:pPr>
              <w:spacing w:beforeAutospacing="1" w:afterAutospacing="1"/>
              <w:jc w:val="right"/>
            </w:pPr>
            <w:r>
              <w:rPr>
                <w:color w:val="000000"/>
              </w:rPr>
              <w:t>0</w:t>
            </w:r>
          </w:p>
        </w:tc>
      </w:tr>
      <w:tr w:rsidR="00E2285C" w14:paraId="5B6E7E43" w14:textId="77777777">
        <w:trPr>
          <w:gridAfter w:val="1"/>
          <w:wAfter w:w="25" w:type="dxa"/>
          <w:cantSplit/>
        </w:trPr>
        <w:tc>
          <w:tcPr>
            <w:tcW w:w="4081" w:type="dxa"/>
            <w:vAlign w:val="bottom"/>
          </w:tcPr>
          <w:p w14:paraId="1F7DC46E" w14:textId="77777777" w:rsidR="00E2285C" w:rsidRDefault="00730313">
            <w:pPr>
              <w:spacing w:beforeAutospacing="1" w:afterAutospacing="1"/>
            </w:pPr>
            <w:r>
              <w:rPr>
                <w:b/>
                <w:color w:val="000000"/>
              </w:rPr>
              <w:t>Total</w:t>
            </w:r>
          </w:p>
        </w:tc>
        <w:tc>
          <w:tcPr>
            <w:tcW w:w="1859" w:type="dxa"/>
            <w:vAlign w:val="bottom"/>
          </w:tcPr>
          <w:p w14:paraId="36E57FE9" w14:textId="77777777" w:rsidR="00E2285C" w:rsidRDefault="00730313">
            <w:pPr>
              <w:spacing w:beforeAutospacing="1" w:afterAutospacing="1"/>
              <w:jc w:val="right"/>
            </w:pPr>
            <w:r>
              <w:rPr>
                <w:b/>
                <w:color w:val="000000"/>
              </w:rPr>
              <w:t>63</w:t>
            </w:r>
          </w:p>
        </w:tc>
        <w:tc>
          <w:tcPr>
            <w:tcW w:w="1890" w:type="dxa"/>
            <w:vAlign w:val="bottom"/>
          </w:tcPr>
          <w:p w14:paraId="1D68E038" w14:textId="77777777" w:rsidR="00E2285C" w:rsidRDefault="00730313">
            <w:pPr>
              <w:spacing w:beforeAutospacing="1" w:afterAutospacing="1"/>
              <w:jc w:val="right"/>
            </w:pPr>
            <w:r>
              <w:rPr>
                <w:b/>
                <w:color w:val="000000"/>
              </w:rPr>
              <w:t>0</w:t>
            </w:r>
          </w:p>
        </w:tc>
      </w:tr>
    </w:tbl>
    <w:p w14:paraId="38EEB9D7"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395C3D5B" w14:textId="77777777" w:rsidR="00FE3457" w:rsidRDefault="00FE3457">
      <w:pPr>
        <w:widowControl w:val="0"/>
        <w:spacing w:line="204" w:lineRule="auto"/>
        <w:rPr>
          <w:b/>
          <w:sz w:val="24"/>
          <w:szCs w:val="24"/>
        </w:rPr>
      </w:pPr>
    </w:p>
    <w:p w14:paraId="22AA9424" w14:textId="77777777" w:rsidR="00FE3457" w:rsidRDefault="00FE3457">
      <w:pPr>
        <w:widowControl w:val="0"/>
        <w:spacing w:line="204" w:lineRule="auto"/>
        <w:rPr>
          <w:b/>
          <w:sz w:val="24"/>
          <w:szCs w:val="24"/>
        </w:rPr>
      </w:pPr>
    </w:p>
    <w:p w14:paraId="0501F8E1" w14:textId="77777777" w:rsidR="00FE3457" w:rsidRDefault="005268B9">
      <w:pPr>
        <w:widowControl w:val="0"/>
        <w:spacing w:line="204" w:lineRule="auto"/>
        <w:rPr>
          <w:b/>
          <w:sz w:val="24"/>
          <w:szCs w:val="24"/>
        </w:rPr>
      </w:pPr>
      <w:r>
        <w:rPr>
          <w:b/>
          <w:sz w:val="24"/>
          <w:szCs w:val="24"/>
        </w:rPr>
        <w:t>Narrative Information</w:t>
      </w:r>
    </w:p>
    <w:p w14:paraId="37B59460" w14:textId="77777777" w:rsidR="00E2285C" w:rsidRDefault="00730313">
      <w:pPr>
        <w:spacing w:beforeAutospacing="1" w:afterAutospacing="1"/>
        <w:rPr>
          <w:rFonts w:cs="Arial"/>
        </w:rPr>
      </w:pPr>
      <w:r>
        <w:rPr>
          <w:rFonts w:cs="Arial"/>
        </w:rPr>
        <w:t xml:space="preserve">These figures in the above chart include HRCCP housing rehabilitation participants, who are low- to moderate-income homeowners whose income based on family size is used to determine program eligibility.  Likewise, these figures include three First-Time </w:t>
      </w:r>
      <w:proofErr w:type="spellStart"/>
      <w:r>
        <w:rPr>
          <w:rFonts w:cs="Arial"/>
        </w:rPr>
        <w:t>HomeBuyers</w:t>
      </w:r>
      <w:proofErr w:type="spellEnd"/>
      <w:r>
        <w:rPr>
          <w:rFonts w:cs="Arial"/>
        </w:rPr>
        <w:t xml:space="preserve"> (FTHB) in PY24, who also qualify for this program based on low-moderate family income. </w:t>
      </w:r>
    </w:p>
    <w:p w14:paraId="4C09E909" w14:textId="77777777" w:rsidR="00E2285C" w:rsidRDefault="00730313">
      <w:pPr>
        <w:spacing w:beforeAutospacing="1" w:afterAutospacing="1"/>
        <w:rPr>
          <w:rFonts w:cs="Arial"/>
        </w:rPr>
      </w:pPr>
      <w:r>
        <w:rPr>
          <w:rFonts w:cs="Arial"/>
        </w:rPr>
        <w:t>Other housing activities overseen by the Community Development Department are not classified by these metrics (using information on income by family size to determine eligibility of the activity).</w:t>
      </w:r>
    </w:p>
    <w:p w14:paraId="333DE705" w14:textId="77777777" w:rsidR="00FE3457" w:rsidRDefault="00FE3457">
      <w:pPr>
        <w:rPr>
          <w:rFonts w:cs="Arial"/>
        </w:rPr>
      </w:pPr>
    </w:p>
    <w:p w14:paraId="68D4821B" w14:textId="77777777" w:rsidR="00FE3457" w:rsidRDefault="00FE3457">
      <w:pPr>
        <w:pStyle w:val="Heading2"/>
        <w:pageBreakBefore/>
        <w:rPr>
          <w:rFonts w:ascii="Calibri" w:hAnsi="Calibri"/>
          <w:i w:val="0"/>
        </w:rPr>
        <w:sectPr w:rsidR="00FE3457">
          <w:pgSz w:w="12240" w:h="15840" w:code="1"/>
          <w:pgMar w:top="1440" w:right="1440" w:bottom="1440" w:left="1440" w:header="720" w:footer="720" w:gutter="0"/>
          <w:cols w:space="720"/>
          <w:docGrid w:linePitch="360"/>
        </w:sectPr>
      </w:pPr>
    </w:p>
    <w:bookmarkEnd w:id="1"/>
    <w:p w14:paraId="3B90371A" w14:textId="77777777" w:rsidR="00FE3457" w:rsidRDefault="005268B9">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269EAC80" w14:textId="77777777" w:rsidR="00FE3457" w:rsidRDefault="005268B9">
      <w:pPr>
        <w:keepNext/>
        <w:widowControl w:val="0"/>
        <w:rPr>
          <w:b/>
          <w:sz w:val="24"/>
          <w:szCs w:val="24"/>
        </w:rPr>
      </w:pPr>
      <w:r>
        <w:rPr>
          <w:b/>
          <w:sz w:val="24"/>
          <w:szCs w:val="24"/>
        </w:rPr>
        <w:t>Evaluate the jurisdiction’s progress in meeting its specific objectives for reducing and ending homelessness through:</w:t>
      </w:r>
    </w:p>
    <w:p w14:paraId="304C6BFD" w14:textId="77777777" w:rsidR="00FE3457" w:rsidRDefault="005268B9">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7ED7994E" w14:textId="77777777" w:rsidR="00E2285C" w:rsidRDefault="00730313">
      <w:pPr>
        <w:widowControl w:val="0"/>
        <w:spacing w:beforeAutospacing="1" w:afterAutospacing="1"/>
        <w:rPr>
          <w:rFonts w:cs="Arial"/>
        </w:rPr>
      </w:pPr>
      <w:r>
        <w:rPr>
          <w:rFonts w:cs="Arial"/>
        </w:rPr>
        <w:t>Haverhill continues to grapple with an increasingly prescient homelessness issue exacerbated by the housing crisis.  The city is not unique in this regard, but also not exempt.  There are vacant properties, public facilities, parks, alleys and buildings, rears of shopping plazas and open spaces are now frequented by homeless residents, although Haverhill has a strong shelter system.</w:t>
      </w:r>
      <w:r>
        <w:rPr>
          <w:rFonts w:cs="Arial"/>
          <w:i/>
        </w:rPr>
        <w:br/>
      </w:r>
    </w:p>
    <w:p w14:paraId="302141B8" w14:textId="77777777" w:rsidR="00E2285C" w:rsidRDefault="00730313">
      <w:pPr>
        <w:widowControl w:val="0"/>
        <w:spacing w:beforeAutospacing="1" w:afterAutospacing="1"/>
        <w:rPr>
          <w:rFonts w:cs="Arial"/>
        </w:rPr>
      </w:pPr>
      <w:r>
        <w:rPr>
          <w:rFonts w:cs="Arial"/>
        </w:rPr>
        <w:t>Haverhill's homeless underclass is sadly diverse: old, middle age and young; men and women; representing different ethnic and sociological backgrounds, but with some common threads: domestic violence; criminal histories; low or no income; evictions; family illness, especially mental illness; vagrancy; lack of family support or connections; job loss; and current or past substance abuse and/or addictions.  Heroin and fentanyl addicts, many of them younger adults, are living out in city streets, parks, makeshi</w:t>
      </w:r>
      <w:r>
        <w:rPr>
          <w:rFonts w:cs="Arial"/>
        </w:rPr>
        <w:t>ft tents, in cars and vacant properties as well as shelters.</w:t>
      </w:r>
      <w:r>
        <w:rPr>
          <w:rFonts w:cs="Arial"/>
          <w:i/>
        </w:rPr>
        <w:t>  </w:t>
      </w:r>
      <w:r>
        <w:rPr>
          <w:rFonts w:cs="Arial"/>
        </w:rPr>
        <w:t xml:space="preserve"> A transient population wanders through town routinely, sometimes by commuter rail to the end of the line here.</w:t>
      </w:r>
      <w:r>
        <w:rPr>
          <w:rFonts w:cs="Arial"/>
          <w:i/>
        </w:rPr>
        <w:t xml:space="preserve">  </w:t>
      </w:r>
      <w:r>
        <w:rPr>
          <w:rFonts w:cs="Arial"/>
        </w:rPr>
        <w:t xml:space="preserve">The past year has witnessed an increase in </w:t>
      </w:r>
      <w:proofErr w:type="gramStart"/>
      <w:r>
        <w:rPr>
          <w:rFonts w:cs="Arial"/>
        </w:rPr>
        <w:t>elders</w:t>
      </w:r>
      <w:proofErr w:type="gramEnd"/>
      <w:r>
        <w:rPr>
          <w:rFonts w:cs="Arial"/>
        </w:rPr>
        <w:t xml:space="preserve"> needing shelter, some from condemned units.</w:t>
      </w:r>
    </w:p>
    <w:p w14:paraId="06E2F767" w14:textId="77777777" w:rsidR="00E2285C" w:rsidRDefault="00730313">
      <w:pPr>
        <w:widowControl w:val="0"/>
        <w:spacing w:beforeAutospacing="1" w:afterAutospacing="1"/>
        <w:rPr>
          <w:rFonts w:cs="Arial"/>
        </w:rPr>
      </w:pPr>
      <w:r>
        <w:rPr>
          <w:rFonts w:cs="Arial"/>
        </w:rPr>
        <w:t>The City works in strong partnership with homeless serving agencies, referring individuals to various community resources.  Activities the City has supported with Program Year 2024 CDBG funds include a continuum of organizations that do yeoman's duty in battling homelessness overnight, in the morning, and afternoon, such as: Emmaus' Mitch's Place overnight homeless shelter (IDIS Activity #1478), which sheltered 71 unduplicated individuals with $10,000 from CDBG Public Services funds</w:t>
      </w:r>
      <w:r>
        <w:rPr>
          <w:rFonts w:cs="Arial"/>
          <w:i/>
        </w:rPr>
        <w:t>; </w:t>
      </w:r>
      <w:r>
        <w:rPr>
          <w:rFonts w:cs="Arial"/>
        </w:rPr>
        <w:t>Community Action Inc.'s morning Homeless Drop-In Center (IDIS #1473), which served and assisted 125 homeless individuals with $10,700 in CDBG funds; and the Common Ground Cafe (IDIS #1483) on Winter Street, which served 222 indigent and/or homeless individuals with $10,000 in PY24 CDBG funds every afternoon</w:t>
      </w:r>
      <w:r>
        <w:rPr>
          <w:rFonts w:cs="Arial"/>
          <w:i/>
        </w:rPr>
        <w:t>.  </w:t>
      </w:r>
    </w:p>
    <w:p w14:paraId="4C39EFCD" w14:textId="77777777" w:rsidR="00E2285C" w:rsidRDefault="00730313">
      <w:pPr>
        <w:widowControl w:val="0"/>
        <w:spacing w:beforeAutospacing="1" w:afterAutospacing="1"/>
        <w:rPr>
          <w:rFonts w:cs="Arial"/>
        </w:rPr>
      </w:pPr>
      <w:r>
        <w:rPr>
          <w:rFonts w:cs="Arial"/>
        </w:rPr>
        <w:t>The established (CE) Coordinated Entry system is designed to assess the needs of homeless individuals and efficiently place them among various agencies.  A CE Program Manager for the Balance of State Continuum of Care operates out of Haverhill at Emmaus, doing comprehensive assessments of homeless individuals' needs at two Homeless Assessment Centers- one for women, one for men.</w:t>
      </w:r>
    </w:p>
    <w:p w14:paraId="65B16CF4" w14:textId="77777777" w:rsidR="00E2285C" w:rsidRDefault="00730313">
      <w:pPr>
        <w:widowControl w:val="0"/>
        <w:spacing w:beforeAutospacing="1" w:afterAutospacing="1"/>
        <w:rPr>
          <w:rFonts w:cs="Arial"/>
        </w:rPr>
      </w:pPr>
      <w:r>
        <w:rPr>
          <w:rFonts w:cs="Arial"/>
        </w:rPr>
        <w:t>Street outreach to chronically homeless or unsheltered remains very effective.  New resources on the mental health front, from both Eliot Community Services and clinicians embedded within the Haverhill Police Department, are assisting greatly.</w:t>
      </w:r>
    </w:p>
    <w:p w14:paraId="62ADB28B" w14:textId="77777777" w:rsidR="00E2285C" w:rsidRDefault="00730313">
      <w:pPr>
        <w:widowControl w:val="0"/>
        <w:spacing w:beforeAutospacing="1" w:afterAutospacing="1"/>
        <w:rPr>
          <w:rFonts w:cs="Arial"/>
        </w:rPr>
      </w:pPr>
      <w:r>
        <w:rPr>
          <w:rFonts w:cs="Arial"/>
        </w:rPr>
        <w:lastRenderedPageBreak/>
        <w:t> </w:t>
      </w:r>
    </w:p>
    <w:p w14:paraId="3CA75989" w14:textId="77777777" w:rsidR="00E2285C" w:rsidRDefault="00730313">
      <w:r>
        <w:rPr>
          <w:rFonts w:cs="Arial"/>
          <w:b/>
        </w:rPr>
        <w:t>Efforts</w:t>
      </w:r>
    </w:p>
    <w:p w14:paraId="7B22AAD7" w14:textId="77777777" w:rsidR="00E2285C" w:rsidRDefault="00730313">
      <w:pPr>
        <w:widowControl w:val="0"/>
        <w:spacing w:beforeAutospacing="1" w:afterAutospacing="1"/>
        <w:rPr>
          <w:rFonts w:cs="Arial"/>
        </w:rPr>
      </w:pPr>
      <w:r>
        <w:t xml:space="preserve">Grant funding of $70,000 continued from the Wadleigh Foundation, with support by City CDBG funds, for services at Community Action's Homeless Drop-In Center.  Meanwhile, over the last year, Common Ground Ministries continued their growth and expansion of their services to the homeless as well, aided by a new elevator that enables more access to programming on their 2nd and 3rd floors.  This Public Improvement project was partially funded with $10,000 from CDBG (IDIS #1502). The mobile health van of Greater </w:t>
      </w:r>
      <w:r>
        <w:t>Lawrence Family Health Center is now stationed two days per week in the free municipal lot adjacent to Common Ground Ministries.  This mobile medical center provides free health care services to the homeless and indigent in the community. Portable shower and laundry facilities for the homeless remained popular as well (allowing up to 20 minutes per shower room and up to 2 bags a day for laundry).  The City worked with Common Ground to resolve wastewater issues there. Electrical generators were previously ad</w:t>
      </w:r>
      <w:r>
        <w:t xml:space="preserve">ded to Emmaus and Common Ground facilities through CDBG-CV </w:t>
      </w:r>
      <w:proofErr w:type="gramStart"/>
      <w:r>
        <w:t>in order to</w:t>
      </w:r>
      <w:proofErr w:type="gramEnd"/>
      <w:r>
        <w:t xml:space="preserve"> provide operational sustainability during climate change-related and other emergencies. </w:t>
      </w:r>
      <w:proofErr w:type="gramStart"/>
      <w:r>
        <w:t>All of</w:t>
      </w:r>
      <w:proofErr w:type="gramEnd"/>
      <w:r>
        <w:t xml:space="preserve"> these noted facilities and CDBG sub-recipients strive to become personally acquainted with the homeless individuals they serve, and to try to relate to them on an interpersonal basis.  This level of one-on-one interaction allows providers to assess the individual needs of these homeless. These providers work tirelessly to connect these clients </w:t>
      </w:r>
      <w:r>
        <w:t xml:space="preserve">with appropriate services and ultimately to permanent housing.  </w:t>
      </w:r>
      <w:proofErr w:type="gramStart"/>
      <w:r>
        <w:t>All of</w:t>
      </w:r>
      <w:proofErr w:type="gramEnd"/>
      <w:r>
        <w:t xml:space="preserve"> the City's CDBG-funded agencies are expected to share information about available resources and services in the community.  A monthly Unsheltered meeting occurs, in which Emmaus, the Drop-In Center, Common Ground, Eliot Community Services, City, Police, State agencies such as Department of Transitional Assistance (DTA) and others discuss trends, policies and even complex individual cases of homelessness and those on the streets.</w:t>
      </w:r>
    </w:p>
    <w:p w14:paraId="7C0104A5" w14:textId="77777777" w:rsidR="00FE3457" w:rsidRDefault="005268B9">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4E1C2899" w14:textId="77777777" w:rsidR="00E2285C" w:rsidRDefault="00730313">
      <w:pPr>
        <w:widowControl w:val="0"/>
        <w:spacing w:beforeAutospacing="1" w:afterAutospacing="1"/>
        <w:rPr>
          <w:rFonts w:cs="Arial"/>
        </w:rPr>
      </w:pPr>
      <w:r>
        <w:rPr>
          <w:rFonts w:cs="Arial"/>
        </w:rPr>
        <w:t>Some of the City's success in combatting and treating chronic homelessness has been partly negated by new homelessness caused by opioids, transients, mental illness and evictions.  </w:t>
      </w:r>
    </w:p>
    <w:p w14:paraId="294E5CC3" w14:textId="77777777" w:rsidR="00E2285C" w:rsidRDefault="00730313">
      <w:pPr>
        <w:widowControl w:val="0"/>
        <w:spacing w:beforeAutospacing="1" w:afterAutospacing="1"/>
        <w:rPr>
          <w:rFonts w:cs="Arial"/>
        </w:rPr>
      </w:pPr>
      <w:r>
        <w:rPr>
          <w:rFonts w:cs="Arial"/>
        </w:rPr>
        <w:t>However, Emmaus’ efforts with Rapid Rehousing again paid notable dividends.  Rapid Rehousing placed 38 households into permanent housing in Program Year 2024-- off the streets and out of the shelter.  At the Family Shelter, 41 unduplicated families are served and housed at any one time.  Notably, 56 families overall were placed into permanent housing by Emmaus family shelter programs during PY24.</w:t>
      </w:r>
    </w:p>
    <w:p w14:paraId="3E495CE3" w14:textId="77777777" w:rsidR="00E2285C" w:rsidRDefault="00730313">
      <w:pPr>
        <w:widowControl w:val="0"/>
        <w:spacing w:beforeAutospacing="1" w:afterAutospacing="1"/>
        <w:rPr>
          <w:rFonts w:cs="Arial"/>
        </w:rPr>
      </w:pPr>
      <w:r>
        <w:rPr>
          <w:rFonts w:cs="Arial"/>
        </w:rPr>
        <w:t>In all, Emmaus' Mitch's Place Emergency Overnight Shelter housed 249 unduplicated individuals over the past Program Year.  65 of these extremely low-income individuals were placed into permanent housing, a significant accomplishment.</w:t>
      </w:r>
    </w:p>
    <w:p w14:paraId="1F7D4536" w14:textId="77777777" w:rsidR="00E2285C" w:rsidRDefault="00730313">
      <w:pPr>
        <w:widowControl w:val="0"/>
        <w:spacing w:beforeAutospacing="1" w:afterAutospacing="1"/>
        <w:rPr>
          <w:rFonts w:cs="Arial"/>
        </w:rPr>
      </w:pPr>
      <w:r>
        <w:rPr>
          <w:rFonts w:cs="Arial"/>
        </w:rPr>
        <w:t xml:space="preserve">The City seeks and utilizes partnerships with several agencies, developers and </w:t>
      </w:r>
      <w:proofErr w:type="gramStart"/>
      <w:r>
        <w:rPr>
          <w:rFonts w:cs="Arial"/>
        </w:rPr>
        <w:t>programs</w:t>
      </w:r>
      <w:proofErr w:type="gramEnd"/>
      <w:r>
        <w:rPr>
          <w:rFonts w:cs="Arial"/>
        </w:rPr>
        <w:t xml:space="preserve"> about the need to create additional housing for the homeless.  Many of these projects take years to </w:t>
      </w:r>
      <w:r>
        <w:rPr>
          <w:rFonts w:cs="Arial"/>
        </w:rPr>
        <w:lastRenderedPageBreak/>
        <w:t>construct.</w:t>
      </w:r>
      <w:r>
        <w:rPr>
          <w:rFonts w:cs="Arial"/>
          <w:i/>
        </w:rPr>
        <w:t xml:space="preserve">  </w:t>
      </w:r>
      <w:r>
        <w:rPr>
          <w:rFonts w:cs="Arial"/>
        </w:rPr>
        <w:t>Unfortunately, only one new housing unit (for homeless or other low-income households) was constructed during this post Program Year.</w:t>
      </w:r>
    </w:p>
    <w:p w14:paraId="23D4ECCE" w14:textId="77777777" w:rsidR="00E2285C" w:rsidRDefault="00730313">
      <w:pPr>
        <w:widowControl w:val="0"/>
        <w:spacing w:beforeAutospacing="1" w:afterAutospacing="1"/>
        <w:rPr>
          <w:rFonts w:cs="Arial"/>
        </w:rPr>
      </w:pPr>
      <w:r>
        <w:rPr>
          <w:rFonts w:cs="Arial"/>
        </w:rPr>
        <w:t xml:space="preserve">Those entering the Continuum of Care (CoC) through Coordinated Entry (CE) system are evaluated for benefits maximization. These clients receive housing stability assessments and referrals as appropriate </w:t>
      </w:r>
      <w:proofErr w:type="gramStart"/>
      <w:r>
        <w:rPr>
          <w:rFonts w:cs="Arial"/>
        </w:rPr>
        <w:t>in order to</w:t>
      </w:r>
      <w:proofErr w:type="gramEnd"/>
      <w:r>
        <w:rPr>
          <w:rFonts w:cs="Arial"/>
        </w:rPr>
        <w:t xml:space="preserve"> address their most urgent needs to prevent chronic homelessness. Referrals are made to CAP agencies, as well as visiting medical providers and legal service outfits (such as Northeast Legal Aid) that provide 'pro bono' assistance to prevent homelessness.   CDBG and/or American Rescue Plan Act (ARPA) funds support several of these agencies. </w:t>
      </w:r>
    </w:p>
    <w:p w14:paraId="3A8D598D" w14:textId="77777777" w:rsidR="00E2285C" w:rsidRDefault="00730313">
      <w:pPr>
        <w:widowControl w:val="0"/>
        <w:spacing w:beforeAutospacing="1" w:afterAutospacing="1"/>
        <w:rPr>
          <w:rFonts w:cs="Arial"/>
        </w:rPr>
      </w:pPr>
      <w:r>
        <w:rPr>
          <w:rFonts w:cs="Arial"/>
        </w:rPr>
        <w:t>Other emergency shelter and housing strategies include: networking amongst CoC members to address needs; emergency assistance to prevent evictions (especially State Residential Assistance for Families in Transition {RAFT} funds); use of funding and networks outside of CoC including North Shore Homelessness Action Group; collaboration with State offices; diversion funds; utilization of State Home Base for prevention and diversion; Housing Court legal representation (typically less than 4% for renters); physi</w:t>
      </w:r>
      <w:r>
        <w:rPr>
          <w:rFonts w:cs="Arial"/>
        </w:rPr>
        <w:t>cal help in locating apartments; and working with prison release programs.  </w:t>
      </w:r>
    </w:p>
    <w:p w14:paraId="5BB15156" w14:textId="77777777" w:rsidR="00E2285C" w:rsidRDefault="00730313">
      <w:pPr>
        <w:widowControl w:val="0"/>
        <w:spacing w:beforeAutospacing="1" w:afterAutospacing="1"/>
        <w:rPr>
          <w:rFonts w:cs="Arial"/>
        </w:rPr>
      </w:pPr>
      <w:r>
        <w:rPr>
          <w:rFonts w:cs="Arial"/>
        </w:rPr>
        <w:t xml:space="preserve">CE, operated regionally by Emmaus, is utilized as both a process and an evaluation tool to identify people before they become homeless, using one common application (many use virtual gateways).  Over the past Program Year, Emmaus continued implementing Vesta and </w:t>
      </w:r>
      <w:proofErr w:type="spellStart"/>
      <w:r>
        <w:rPr>
          <w:rFonts w:cs="Arial"/>
        </w:rPr>
        <w:t>Vestimator</w:t>
      </w:r>
      <w:proofErr w:type="spellEnd"/>
      <w:r>
        <w:rPr>
          <w:rFonts w:cs="Arial"/>
        </w:rPr>
        <w:t xml:space="preserve"> Homeless Information Management System (HMIS) tools.  Emmaus has also retained Haitian Creole language capacity.</w:t>
      </w:r>
    </w:p>
    <w:p w14:paraId="3C8A2549" w14:textId="77777777" w:rsidR="00E2285C" w:rsidRDefault="00730313">
      <w:pPr>
        <w:widowControl w:val="0"/>
        <w:spacing w:beforeAutospacing="1" w:afterAutospacing="1"/>
        <w:rPr>
          <w:rFonts w:cs="Arial"/>
        </w:rPr>
      </w:pPr>
      <w:r>
        <w:rPr>
          <w:rFonts w:cs="Arial"/>
        </w:rPr>
        <w:t xml:space="preserve">Incidences of overdose in local shelters remain high.  Emmaus is fortunately equipped with Narcan to deal with routine </w:t>
      </w:r>
      <w:proofErr w:type="gramStart"/>
      <w:r>
        <w:rPr>
          <w:rFonts w:cs="Arial"/>
        </w:rPr>
        <w:t>overdoses, and</w:t>
      </w:r>
      <w:proofErr w:type="gramEnd"/>
      <w:r>
        <w:rPr>
          <w:rFonts w:cs="Arial"/>
        </w:rPr>
        <w:t xml:space="preserve"> has a close relationship with City Emergency Services (Police/Fire/EMT).</w:t>
      </w:r>
    </w:p>
    <w:p w14:paraId="1AC54195" w14:textId="77777777" w:rsidR="00E2285C" w:rsidRDefault="00730313">
      <w:r>
        <w:rPr>
          <w:rFonts w:cs="Arial"/>
          <w:b/>
        </w:rPr>
        <w:t>1- Coordinated Entry and Other Programs</w:t>
      </w:r>
    </w:p>
    <w:p w14:paraId="1C719F5D" w14:textId="77777777" w:rsidR="00E2285C" w:rsidRDefault="00730313">
      <w:pPr>
        <w:widowControl w:val="0"/>
        <w:spacing w:beforeAutospacing="1" w:afterAutospacing="1"/>
        <w:rPr>
          <w:rFonts w:cs="Arial"/>
        </w:rPr>
      </w:pPr>
      <w:r>
        <w:t xml:space="preserve">Emmaus, Inc. used to administer the Emergency Solutions Grant (ESG) program for the North Shore region, but now these funds are only with the State. In its place is the Rapid Rehousing program.  Through this, 41 other families were placed out of family shelter into permanent housing units. Emmaus is also the lead agency for the Coordinated Entry (CE) program. Due to inflation, Emmaus has continued to grapple with operating their shelter at significantly higher average costs. Massachusetts' </w:t>
      </w:r>
      <w:proofErr w:type="spellStart"/>
      <w:r>
        <w:t>HomeBase</w:t>
      </w:r>
      <w:proofErr w:type="spellEnd"/>
      <w:r>
        <w:t xml:space="preserve"> program has been a very positive tool, along with the Front Door Diversion Program that is keeping families out of shelter.  76 families have been diverted from family shelter through </w:t>
      </w:r>
      <w:proofErr w:type="spellStart"/>
      <w:r>
        <w:t>HomeBase</w:t>
      </w:r>
      <w:proofErr w:type="spellEnd"/>
      <w:r>
        <w:t xml:space="preserve"> funds.  In addition, these families benefitted from over $140,000 in flex funding to address their various needs. There is a need for 'emergency' shelters, providing unconditional shelter for homeless individuals in the Merrimack Valley.  This </w:t>
      </w:r>
      <w:proofErr w:type="gramStart"/>
      <w:r>
        <w:t>is in contrast to</w:t>
      </w:r>
      <w:proofErr w:type="gramEnd"/>
      <w:r>
        <w:t xml:space="preserve"> so-called 'dry' shelters, which only cater to th</w:t>
      </w:r>
      <w:r>
        <w:t xml:space="preserve">ose who are not drinking alcohol or under the influence of drugs.  Unfortunately, the main shelters in Lowell are usually 'dry' facilities, and the Daybreak shelter in Lawrence operated as a substance-abuse/detoxification only facility for a while. Emmaus by contrast, operates emergency shelters open to all comers.  As a result, </w:t>
      </w:r>
      <w:r>
        <w:lastRenderedPageBreak/>
        <w:t xml:space="preserve">homeless </w:t>
      </w:r>
      <w:proofErr w:type="gramStart"/>
      <w:r>
        <w:t>individuals</w:t>
      </w:r>
      <w:proofErr w:type="gramEnd"/>
      <w:r>
        <w:t xml:space="preserve"> unwilling or unable to participate in substance abuse prevention </w:t>
      </w:r>
      <w:proofErr w:type="gramStart"/>
      <w:r>
        <w:t>programs</w:t>
      </w:r>
      <w:proofErr w:type="gramEnd"/>
      <w:r>
        <w:t xml:space="preserve"> flock to Haverhill </w:t>
      </w:r>
      <w:proofErr w:type="gramStart"/>
      <w:r>
        <w:t>in order to</w:t>
      </w:r>
      <w:proofErr w:type="gramEnd"/>
      <w:r>
        <w:t xml:space="preserve"> get basic shelter through Emmaus.  As stated before, th</w:t>
      </w:r>
      <w:r>
        <w:t xml:space="preserve">e city is seemingly drawing transient homeless from outside communities, including from New Hampshire and Maine, for similar reasons.  The termination of </w:t>
      </w:r>
      <w:proofErr w:type="gramStart"/>
      <w:r>
        <w:t>tent</w:t>
      </w:r>
      <w:proofErr w:type="gramEnd"/>
      <w:r>
        <w:t xml:space="preserve"> cities in the region leads some homeless individuals to Haverhill.  These difficult and troubling dynamics require regional solutions.  Haverhill does not have adequate resources to deal with handling a disproportionate share of the region's homeless population. Emmaus is challenged by policy changes from the Balance of State CoC, which has chosen to </w:t>
      </w:r>
      <w:r>
        <w:t>only allow 30 days of case management and moving costs from its Rapid Rehousing housing funds.  Many clients require more assistance than this after housing placement.  As a result, instead of serving 48-60 households a year on average, this program only served 14 households. One of the City's proudest accomplishments during the COVID-19 Pandemic was preventing a 'super-spreader' outbreak among the homeless.  These best practices are still driving improved operational efficiencies today.</w:t>
      </w:r>
    </w:p>
    <w:p w14:paraId="4DFB6908" w14:textId="77777777" w:rsidR="00E2285C" w:rsidRDefault="00730313">
      <w:r>
        <w:rPr>
          <w:rFonts w:cs="Arial"/>
          <w:b/>
        </w:rPr>
        <w:t>2- Haverhill Homeless Facilities Overview</w:t>
      </w:r>
    </w:p>
    <w:p w14:paraId="40F9453A" w14:textId="77777777" w:rsidR="00E2285C" w:rsidRDefault="00730313">
      <w:pPr>
        <w:widowControl w:val="0"/>
        <w:spacing w:beforeAutospacing="1" w:afterAutospacing="1"/>
        <w:rPr>
          <w:rFonts w:cs="Arial"/>
        </w:rPr>
      </w:pPr>
      <w:r>
        <w:t xml:space="preserve">Multiple CDBG-funded sub-recipients have interacted </w:t>
      </w:r>
      <w:proofErr w:type="gramStart"/>
      <w:r>
        <w:t>on a daily basis</w:t>
      </w:r>
      <w:proofErr w:type="gramEnd"/>
      <w:r>
        <w:t xml:space="preserve"> with Haverhill's homeless, both sheltered and unsheltered, in PY24. Mitch's Place (IDIS #1478) continues operating as a 40-bed facility on 2 floors.   The Homeless Drop-In Center (IDIS #1473) continued to operate certain Monday-Friday nights out of the basement of the Universalist Unitarian Church on Ashland Street in the Highlands neighborhood near the Lower Acre, a walkable distance from Mitch's.  Managed by Community Action, the Drop-In provides breakfast, occasional bagged lunches, soci</w:t>
      </w:r>
      <w:r>
        <w:t>alization, service referrals, transit connections, health care screenings, personal financial administration, benefits counseling/financial oversight (if so court-appointed) among other services. Similarly, Common Ground Cafe (IDIS #1483) is walkable from the Drop-In Center as well. The Cafe provides coffee, meals, snacks, socialization and counseling services throughout the afternoon, providing free amenities to the homeless, along with a clothing thrift store.  Showers and laundry facilities for the homel</w:t>
      </w:r>
      <w:r>
        <w:t>ess are among the services at Common Ground. A new elevator partially supported by CDBG (IDIS #1502) is adding access to additional services on upper floors. A non-inclusive PY24 listing of shelter, transitional housing, and permanent housing facilities for chronically-homeless populations reveals the following: Emmaus SHI (Supportive Housing Initiative) affordable housing program for 10 formerly homeless families; Emmaus 41 Welcome Street Section 8 project- 20 formerly homeless individuals, with a priority</w:t>
      </w:r>
      <w:r>
        <w:t xml:space="preserve"> for elders; Emmaus Family Shelter- 54 households (over 130 residents); Emmaus' Mitch's Place- now 44 individuals per night/average; New England Center for Home and Veterans (formerly Veterans Northeast Outreach Center)-- 25 homeless veterans' beds. The City also maintains an emergency shelter at the Citizens Center on Welcome Street during extreme weather emergencies or other disasters.</w:t>
      </w:r>
    </w:p>
    <w:p w14:paraId="35E19C6F" w14:textId="77777777" w:rsidR="00E2285C" w:rsidRDefault="00730313">
      <w:r>
        <w:rPr>
          <w:rFonts w:cs="Arial"/>
          <w:b/>
        </w:rPr>
        <w:t>3- 2025 Homeless Point in Time Count Review</w:t>
      </w:r>
    </w:p>
    <w:p w14:paraId="2B3B2A6A" w14:textId="77777777" w:rsidR="00E2285C" w:rsidRDefault="00730313">
      <w:pPr>
        <w:widowControl w:val="0"/>
        <w:spacing w:beforeAutospacing="1" w:afterAutospacing="1"/>
        <w:rPr>
          <w:rFonts w:cs="Arial"/>
        </w:rPr>
      </w:pPr>
      <w:r>
        <w:t xml:space="preserve">The 2025 Homeless Point-in-Time (PIT) Count was held overnight in Haverhill on Wednesday, January 29 into the early hours of January 30, 2025 (last Wednesday night of January).  This count is notable as a combined effort from Emmaus, the Haverhill Police Department, Community Development, Eliot Community Services and other partners after weeks of planning and coordination. The results for the </w:t>
      </w:r>
      <w:r>
        <w:lastRenderedPageBreak/>
        <w:t xml:space="preserve">2025 PIT count revealed thirty (30) unsheltered individuals living on the streets in January (some of whom refused to be sheltered for various reasons and preferences).  This is an increase from the 23 listed last year.  While a diverse lot, most were White males.  Some of these individuals have been chronically homeless and living permanently outdoors. The City and Emmaus are seeing the number of unsheltered </w:t>
      </w:r>
      <w:proofErr w:type="gramStart"/>
      <w:r>
        <w:t>homeless</w:t>
      </w:r>
      <w:proofErr w:type="gramEnd"/>
      <w:r>
        <w:t xml:space="preserve"> trending upwards, along with an increase in homeless </w:t>
      </w:r>
      <w:proofErr w:type="gramStart"/>
      <w:r>
        <w:t>elders</w:t>
      </w:r>
      <w:proofErr w:type="gramEnd"/>
      <w:r>
        <w:t>. Emmaus's Mitch's Place emerge</w:t>
      </w:r>
      <w:r>
        <w:t xml:space="preserve">ncy overnight shelter has routinely operated at a 40-person capacity per night. Emmaus is seeing more homeless men than women, and </w:t>
      </w:r>
      <w:proofErr w:type="gramStart"/>
      <w:r>
        <w:t>more and more</w:t>
      </w:r>
      <w:proofErr w:type="gramEnd"/>
      <w:r>
        <w:t xml:space="preserve"> of their guests have mental illness issues.</w:t>
      </w:r>
    </w:p>
    <w:p w14:paraId="17D6E10D" w14:textId="77777777" w:rsidR="00E2285C" w:rsidRDefault="00730313">
      <w:r>
        <w:rPr>
          <w:rFonts w:cs="Arial"/>
          <w:b/>
        </w:rPr>
        <w:t>4- Emergency Response Efforts</w:t>
      </w:r>
    </w:p>
    <w:p w14:paraId="29848092" w14:textId="77777777" w:rsidR="00E2285C" w:rsidRDefault="00730313">
      <w:pPr>
        <w:widowControl w:val="0"/>
        <w:spacing w:beforeAutospacing="1" w:afterAutospacing="1"/>
        <w:rPr>
          <w:rFonts w:cs="Arial"/>
        </w:rPr>
      </w:pPr>
      <w:r>
        <w:t>The City was challenged again during this past year, albeit to a lesser degree, with house fires and other emergencies related to climate change.  Fortunately, none of these incidents involved fatalities.  In most cases, recovery leads to extensive and lengthy renovations of months not weeks.  Many affected residents required extensive hotel stays or other temporary-to-long-term replacement housing.  The City, Community Action, Emmaus and others continue to press for more seamless handoffs from the American</w:t>
      </w:r>
      <w:r>
        <w:t xml:space="preserve"> Red Cross after their immediate disaster response.  Providing short-term emergency management is crucial but not sufficient given the long-term needs these situations create.  Some landlords involved were not that motivated in rehousing their tenants, some of whom were already facing eviction.   Long-term homelessness is bad enough, but fires and other issues also can create new homeless individuals in an instant. More emergency housing services funds will be needed as the City tries to design a program th</w:t>
      </w:r>
      <w:r>
        <w:t>rough CDBG to serve fire victims (IDIS #1493). The major impetus for this is to prevent homelessness from minor fires due to a lack of smoke and/or carbon dioxide alarms or small emergency repairs, often in the overnight or weekend hours.  CDBG funds help the Fire Department replace smoke alarms onsite after a minor fire so that families can remain in their homes after a minor fire incident, directly preventing homelessness. The loss of the Best Western motor lodge in Haverhill due to a troublesome and dela</w:t>
      </w:r>
      <w:r>
        <w:t>yed reconstruction will challenge these resources until renovation and construction is complete in few months. Furthermore, the City is evaluating the small-scale emergency housing, quarantine and shelter potential being offered in church halls, commercial establishments and schools.</w:t>
      </w:r>
    </w:p>
    <w:p w14:paraId="5B453A81" w14:textId="77777777" w:rsidR="00FE3457" w:rsidRDefault="005268B9">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education, or youth needs</w:t>
      </w:r>
    </w:p>
    <w:p w14:paraId="09E23C0F" w14:textId="77777777" w:rsidR="00E2285C" w:rsidRDefault="00730313">
      <w:pPr>
        <w:widowControl w:val="0"/>
        <w:spacing w:beforeAutospacing="1" w:afterAutospacing="1"/>
        <w:rPr>
          <w:rFonts w:cs="Arial"/>
        </w:rPr>
      </w:pPr>
      <w:r>
        <w:rPr>
          <w:rFonts w:cs="Arial"/>
        </w:rPr>
        <w:t xml:space="preserve">The City works in close partnership with various agencies to create more seamless referral pipelines for individuals emerging from state custody, incarceration, and health facilities </w:t>
      </w:r>
      <w:proofErr w:type="gramStart"/>
      <w:r>
        <w:rPr>
          <w:rFonts w:cs="Arial"/>
        </w:rPr>
        <w:t>in order to</w:t>
      </w:r>
      <w:proofErr w:type="gramEnd"/>
      <w:r>
        <w:rPr>
          <w:rFonts w:cs="Arial"/>
        </w:rPr>
        <w:t xml:space="preserve"> prevent them from becoming homeless. Also, several CDBG-funded PY24 Public Service activities specifically address these concerns, as well as keeping families and individuals out of homelessness, including:</w:t>
      </w:r>
    </w:p>
    <w:p w14:paraId="4726D315" w14:textId="77777777" w:rsidR="00E2285C" w:rsidRDefault="00730313">
      <w:pPr>
        <w:widowControl w:val="0"/>
        <w:spacing w:beforeAutospacing="1" w:afterAutospacing="1"/>
        <w:rPr>
          <w:rFonts w:cs="Arial"/>
        </w:rPr>
      </w:pPr>
      <w:r>
        <w:rPr>
          <w:rFonts w:cs="Arial"/>
        </w:rPr>
        <w:lastRenderedPageBreak/>
        <w:t xml:space="preserve">-Community Action's Homeless Drop-In Center (IDIS #1473)- $10,700- which helped stabilize 125 homeless and near-homeless individuals by connecting them with critical resources and providing morning indoor shelter, nutritious breakfast and socialization every morning at the Universalist Unitarian Church on Ashland </w:t>
      </w:r>
      <w:proofErr w:type="gramStart"/>
      <w:r>
        <w:rPr>
          <w:rFonts w:cs="Arial"/>
        </w:rPr>
        <w:t>Street;</w:t>
      </w:r>
      <w:proofErr w:type="gramEnd"/>
    </w:p>
    <w:p w14:paraId="377C98FB" w14:textId="77777777" w:rsidR="00E2285C" w:rsidRDefault="00730313">
      <w:pPr>
        <w:widowControl w:val="0"/>
        <w:spacing w:beforeAutospacing="1" w:afterAutospacing="1"/>
        <w:rPr>
          <w:rFonts w:cs="Arial"/>
        </w:rPr>
      </w:pPr>
      <w:r>
        <w:rPr>
          <w:rFonts w:cs="Arial"/>
        </w:rPr>
        <w:t xml:space="preserve">-St. Vincent </w:t>
      </w:r>
      <w:proofErr w:type="spellStart"/>
      <w:r>
        <w:rPr>
          <w:rFonts w:cs="Arial"/>
        </w:rPr>
        <w:t>dePaul</w:t>
      </w:r>
      <w:proofErr w:type="spellEnd"/>
      <w:r>
        <w:rPr>
          <w:rFonts w:cs="Arial"/>
        </w:rPr>
        <w:t xml:space="preserve"> of St. James Parish Rent and Utility Assistance Program (IDIS #1472)- $11,172- which helped </w:t>
      </w:r>
      <w:r>
        <w:rPr>
          <w:rFonts w:cs="Arial"/>
          <w:i/>
        </w:rPr>
        <w:t>16</w:t>
      </w:r>
      <w:r>
        <w:rPr>
          <w:rFonts w:cs="Arial"/>
        </w:rPr>
        <w:t xml:space="preserve"> individuals avoid eviction with rental </w:t>
      </w:r>
      <w:proofErr w:type="gramStart"/>
      <w:r>
        <w:rPr>
          <w:rFonts w:cs="Arial"/>
        </w:rPr>
        <w:t>assistance;</w:t>
      </w:r>
      <w:proofErr w:type="gramEnd"/>
    </w:p>
    <w:p w14:paraId="4205B28B" w14:textId="77777777" w:rsidR="00E2285C" w:rsidRDefault="00730313">
      <w:pPr>
        <w:widowControl w:val="0"/>
        <w:spacing w:beforeAutospacing="1" w:afterAutospacing="1"/>
        <w:rPr>
          <w:rFonts w:cs="Arial"/>
        </w:rPr>
      </w:pPr>
      <w:r>
        <w:rPr>
          <w:rFonts w:cs="Arial"/>
        </w:rPr>
        <w:t xml:space="preserve">-St. Vincent </w:t>
      </w:r>
      <w:proofErr w:type="spellStart"/>
      <w:r>
        <w:rPr>
          <w:rFonts w:cs="Arial"/>
        </w:rPr>
        <w:t>dePaul</w:t>
      </w:r>
      <w:proofErr w:type="spellEnd"/>
      <w:r>
        <w:rPr>
          <w:rFonts w:cs="Arial"/>
        </w:rPr>
        <w:t xml:space="preserve"> All Saints Mount Washington Family Assistance Program (IDIS #1471)- $6,684.09- which helped </w:t>
      </w:r>
      <w:r>
        <w:rPr>
          <w:rFonts w:cs="Arial"/>
          <w:i/>
        </w:rPr>
        <w:t>15</w:t>
      </w:r>
      <w:r>
        <w:rPr>
          <w:rFonts w:cs="Arial"/>
        </w:rPr>
        <w:t xml:space="preserve"> individuals avoid eviction with rental </w:t>
      </w:r>
      <w:proofErr w:type="gramStart"/>
      <w:r>
        <w:rPr>
          <w:rFonts w:cs="Arial"/>
        </w:rPr>
        <w:t>assistance;</w:t>
      </w:r>
      <w:proofErr w:type="gramEnd"/>
      <w:r>
        <w:rPr>
          <w:rFonts w:cs="Arial"/>
        </w:rPr>
        <w:t> </w:t>
      </w:r>
    </w:p>
    <w:p w14:paraId="6F9F64C5" w14:textId="77777777" w:rsidR="00E2285C" w:rsidRDefault="00730313">
      <w:pPr>
        <w:widowControl w:val="0"/>
        <w:spacing w:beforeAutospacing="1" w:afterAutospacing="1"/>
        <w:rPr>
          <w:rFonts w:cs="Arial"/>
        </w:rPr>
      </w:pPr>
      <w:r>
        <w:rPr>
          <w:rFonts w:cs="Arial"/>
        </w:rPr>
        <w:t>-Open Hearts Ministries' Social Outreach Program (IDIS #1479)- $6,000</w:t>
      </w:r>
      <w:r>
        <w:rPr>
          <w:rFonts w:cs="Arial"/>
          <w:i/>
        </w:rPr>
        <w:t>-</w:t>
      </w:r>
      <w:r>
        <w:rPr>
          <w:rFonts w:cs="Arial"/>
        </w:rPr>
        <w:t xml:space="preserve"> to connect 80 near-homeless individuals with services including outreach, as well as free cooked nutritious meals for the homeless and public, served at G.A.R. Park and/or Common Ground Cafe at 194 Winter </w:t>
      </w:r>
      <w:proofErr w:type="gramStart"/>
      <w:r>
        <w:rPr>
          <w:rFonts w:cs="Arial"/>
        </w:rPr>
        <w:t>Street;</w:t>
      </w:r>
      <w:proofErr w:type="gramEnd"/>
      <w:r>
        <w:rPr>
          <w:rFonts w:cs="Arial"/>
        </w:rPr>
        <w:t> </w:t>
      </w:r>
    </w:p>
    <w:p w14:paraId="50E9D772" w14:textId="77777777" w:rsidR="00E2285C" w:rsidRDefault="00730313">
      <w:pPr>
        <w:widowControl w:val="0"/>
        <w:spacing w:beforeAutospacing="1" w:afterAutospacing="1"/>
        <w:rPr>
          <w:rFonts w:cs="Arial"/>
        </w:rPr>
      </w:pPr>
      <w:r>
        <w:rPr>
          <w:rFonts w:cs="Arial"/>
        </w:rPr>
        <w:t xml:space="preserve">-Salvation Army's Comprehensive Emergency Services Program (IDIS #1481)- $13,000- which referred 1,500 individuals to various social services through a </w:t>
      </w:r>
      <w:proofErr w:type="gramStart"/>
      <w:r>
        <w:rPr>
          <w:rFonts w:cs="Arial"/>
        </w:rPr>
        <w:t>large daily meals</w:t>
      </w:r>
      <w:proofErr w:type="gramEnd"/>
      <w:r>
        <w:rPr>
          <w:rFonts w:cs="Arial"/>
        </w:rPr>
        <w:t xml:space="preserve"> </w:t>
      </w:r>
      <w:proofErr w:type="gramStart"/>
      <w:r>
        <w:rPr>
          <w:rFonts w:cs="Arial"/>
        </w:rPr>
        <w:t>program;</w:t>
      </w:r>
      <w:proofErr w:type="gramEnd"/>
    </w:p>
    <w:p w14:paraId="35FB1040" w14:textId="77777777" w:rsidR="00E2285C" w:rsidRDefault="00730313">
      <w:pPr>
        <w:widowControl w:val="0"/>
        <w:spacing w:beforeAutospacing="1" w:afterAutospacing="1"/>
        <w:rPr>
          <w:rFonts w:cs="Arial"/>
        </w:rPr>
      </w:pPr>
      <w:r>
        <w:rPr>
          <w:rFonts w:cs="Arial"/>
        </w:rPr>
        <w:t xml:space="preserve">-Emmaus' Mitch's Place Emergency Shelter (IDIS #1478)- $10,000- which provided overnight shelter and services to 71 individuals, moving several of these clients out of </w:t>
      </w:r>
      <w:proofErr w:type="gramStart"/>
      <w:r>
        <w:rPr>
          <w:rFonts w:cs="Arial"/>
        </w:rPr>
        <w:t>homelessness;</w:t>
      </w:r>
      <w:proofErr w:type="gramEnd"/>
    </w:p>
    <w:p w14:paraId="7BAB26F0" w14:textId="77777777" w:rsidR="00E2285C" w:rsidRDefault="00730313">
      <w:pPr>
        <w:widowControl w:val="0"/>
        <w:spacing w:beforeAutospacing="1" w:afterAutospacing="1"/>
        <w:rPr>
          <w:rFonts w:cs="Arial"/>
        </w:rPr>
      </w:pPr>
      <w:r>
        <w:rPr>
          <w:rFonts w:cs="Arial"/>
        </w:rPr>
        <w:t xml:space="preserve">-In addition to food, Common Ground Ministries (IDIS #1483) Facilities </w:t>
      </w:r>
      <w:proofErr w:type="gramStart"/>
      <w:r>
        <w:rPr>
          <w:rFonts w:cs="Arial"/>
        </w:rPr>
        <w:t>improves</w:t>
      </w:r>
      <w:proofErr w:type="gramEnd"/>
      <w:r>
        <w:rPr>
          <w:rFonts w:cs="Arial"/>
        </w:rPr>
        <w:t xml:space="preserve"> hygiene and health of indigent residents through their shower and laundry facilities, working through staff and volunteers to move guests away from homelessness.  The City funded $10,000 to help an elevator project that will connect more disabled guests with services and referrals (IDIS #1502).</w:t>
      </w:r>
    </w:p>
    <w:p w14:paraId="7001AE29" w14:textId="77777777" w:rsidR="00E2285C" w:rsidRDefault="00730313">
      <w:pPr>
        <w:widowControl w:val="0"/>
        <w:spacing w:beforeAutospacing="1" w:afterAutospacing="1"/>
        <w:rPr>
          <w:rFonts w:cs="Arial"/>
        </w:rPr>
      </w:pPr>
      <w:r>
        <w:rPr>
          <w:rFonts w:cs="Arial"/>
        </w:rPr>
        <w:t xml:space="preserve">-Northeast Legal Aid helped scores of households avoid homeless through its Haverhill Citizens Center satellite office last </w:t>
      </w:r>
      <w:proofErr w:type="gramStart"/>
      <w:r>
        <w:rPr>
          <w:rFonts w:cs="Arial"/>
        </w:rPr>
        <w:t>year;</w:t>
      </w:r>
      <w:proofErr w:type="gramEnd"/>
    </w:p>
    <w:p w14:paraId="0B83472B" w14:textId="77777777" w:rsidR="00E2285C" w:rsidRDefault="00730313">
      <w:pPr>
        <w:widowControl w:val="0"/>
        <w:spacing w:beforeAutospacing="1" w:afterAutospacing="1"/>
        <w:rPr>
          <w:rFonts w:cs="Arial"/>
        </w:rPr>
      </w:pPr>
      <w:r>
        <w:rPr>
          <w:rFonts w:cs="Arial"/>
        </w:rPr>
        <w:t>The City also provided $455.74 in CDBG-CV3 funds (IDIS #1270) in short-term rental assistance to prevent one additional eviction during PY24.  This payment represented the very last of CDBG funds from the CARES Act.</w:t>
      </w:r>
    </w:p>
    <w:p w14:paraId="464E023B" w14:textId="77777777" w:rsidR="00E2285C" w:rsidRDefault="00E2285C">
      <w:pPr>
        <w:widowControl w:val="0"/>
        <w:spacing w:beforeAutospacing="1" w:afterAutospacing="1"/>
        <w:rPr>
          <w:rFonts w:cs="Arial"/>
        </w:rPr>
      </w:pPr>
    </w:p>
    <w:p w14:paraId="39B86175" w14:textId="77777777" w:rsidR="00E2285C" w:rsidRDefault="00730313">
      <w:r>
        <w:rPr>
          <w:rFonts w:cs="Arial"/>
          <w:b/>
          <w:szCs w:val="26"/>
        </w:rPr>
        <w:t>State and Other Resources</w:t>
      </w:r>
    </w:p>
    <w:p w14:paraId="717F9F0A" w14:textId="77777777" w:rsidR="00E2285C" w:rsidRDefault="00730313">
      <w:pPr>
        <w:widowControl w:val="0"/>
        <w:spacing w:beforeAutospacing="1" w:afterAutospacing="1"/>
        <w:rPr>
          <w:rFonts w:cs="Arial"/>
          <w:szCs w:val="26"/>
        </w:rPr>
      </w:pPr>
      <w:r>
        <w:t xml:space="preserve">In addition, the City has valuable relationships with other non-City funded agencies that are not contracted sub-recipients. Many of these agencies work with populations being discharged from institutional systems of care or are at risk of homelessness, </w:t>
      </w:r>
      <w:proofErr w:type="gramStart"/>
      <w:r>
        <w:t>including:</w:t>
      </w:r>
      <w:proofErr w:type="gramEnd"/>
      <w:r>
        <w:t xml:space="preserve"> Lawrence </w:t>
      </w:r>
      <w:proofErr w:type="spellStart"/>
      <w:r>
        <w:t>CommunityWorks</w:t>
      </w:r>
      <w:proofErr w:type="spellEnd"/>
      <w:r>
        <w:t xml:space="preserve">, counseling those at risk of foreclosure in Spanish and English; Social Security Office in Haverhill, providing disability payments.  This office is in the Riverside area adjacent to Merrimack Health hospital; Department of Transitional Assistance (DTA) in Lawrence, providing cash assistance and short-term </w:t>
      </w:r>
      <w:r>
        <w:lastRenderedPageBreak/>
        <w:t>shelter assistance; Department of Children and Families (DCF), the State child welfare agency; Several Haverhill client families of the Department of Transitional Assist</w:t>
      </w:r>
      <w:r>
        <w:t xml:space="preserve">ance (DTA) office in Lawrence were diverted out of shelters through HOME Base, Section 8 and other tools. Through the State budget and supplemental budgets, the State added resources to the Residential Aid for Families in Transition (RAFT) program.  Community Action and Emmaus are usually able to assist these cases. Emmaus still receives homeless referrals from hospitals and mental health providers (such as </w:t>
      </w:r>
      <w:proofErr w:type="spellStart"/>
      <w:r>
        <w:t>Vinfen</w:t>
      </w:r>
      <w:proofErr w:type="spellEnd"/>
      <w:r>
        <w:t xml:space="preserve">) even outside of the Merrimack Valley region. Sometimes these referrals bring additional </w:t>
      </w:r>
      <w:proofErr w:type="gramStart"/>
      <w:r>
        <w:t>funds</w:t>
      </w:r>
      <w:r>
        <w:t>, but</w:t>
      </w:r>
      <w:proofErr w:type="gramEnd"/>
      <w:r>
        <w:t xml:space="preserve"> often add to a budgetary burden for Emmaus. </w:t>
      </w:r>
      <w:proofErr w:type="spellStart"/>
      <w:r>
        <w:t>HomeBase</w:t>
      </w:r>
      <w:proofErr w:type="spellEnd"/>
      <w:r>
        <w:t xml:space="preserve"> funds are provided by the State to provide stabilization services for clients.  </w:t>
      </w:r>
      <w:proofErr w:type="spellStart"/>
      <w:r>
        <w:t>HomeBase</w:t>
      </w:r>
      <w:proofErr w:type="spellEnd"/>
      <w:r>
        <w:t xml:space="preserve"> allowances have increased to $30,000 for qualified clients, along with case management.  Emmaus administers </w:t>
      </w:r>
      <w:proofErr w:type="spellStart"/>
      <w:r>
        <w:t>HomeBase</w:t>
      </w:r>
      <w:proofErr w:type="spellEnd"/>
      <w:r>
        <w:t xml:space="preserve"> funds.</w:t>
      </w:r>
    </w:p>
    <w:p w14:paraId="48054528" w14:textId="77777777" w:rsidR="00FE3457" w:rsidRDefault="005268B9">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0D3AF98F" w14:textId="77777777" w:rsidR="00E2285C" w:rsidRDefault="00730313">
      <w:pPr>
        <w:widowControl w:val="0"/>
        <w:spacing w:beforeAutospacing="1" w:afterAutospacing="1"/>
        <w:rPr>
          <w:rFonts w:cs="Arial"/>
        </w:rPr>
      </w:pPr>
      <w:r>
        <w:rPr>
          <w:rFonts w:cs="Arial"/>
        </w:rPr>
        <w:t xml:space="preserve">The City employs various strategies and engages partners to help homeless </w:t>
      </w:r>
      <w:proofErr w:type="gramStart"/>
      <w:r>
        <w:rPr>
          <w:rFonts w:cs="Arial"/>
        </w:rPr>
        <w:t>persons</w:t>
      </w:r>
      <w:proofErr w:type="gramEnd"/>
      <w:r>
        <w:rPr>
          <w:rFonts w:cs="Arial"/>
        </w:rPr>
        <w:t xml:space="preserve"> and families transition to permanent housing, access affordable housing units and prevent a return to homelessness.</w:t>
      </w:r>
    </w:p>
    <w:p w14:paraId="2A849740" w14:textId="77777777" w:rsidR="00E2285C" w:rsidRDefault="00730313">
      <w:pPr>
        <w:widowControl w:val="0"/>
        <w:spacing w:beforeAutospacing="1" w:afterAutospacing="1"/>
        <w:rPr>
          <w:rFonts w:cs="Arial"/>
        </w:rPr>
      </w:pPr>
      <w:r>
        <w:rPr>
          <w:rFonts w:cs="Arial"/>
        </w:rPr>
        <w:t xml:space="preserve">The City promotes affordable housing lotteries, which the State mandates for properties receiving affordable housing tax credits.  Many near-homeless Haverhill individuals have had little way of </w:t>
      </w:r>
      <w:proofErr w:type="gramStart"/>
      <w:r>
        <w:rPr>
          <w:rFonts w:cs="Arial"/>
        </w:rPr>
        <w:t>participating</w:t>
      </w:r>
      <w:proofErr w:type="gramEnd"/>
      <w:r>
        <w:rPr>
          <w:rFonts w:cs="Arial"/>
        </w:rPr>
        <w:t xml:space="preserve"> or knowing about these lotteries previously. Unfortunately, there were no such large multi-unit housing lotteries over the past year, other than for a unit or two. </w:t>
      </w:r>
    </w:p>
    <w:p w14:paraId="3BAB43D9" w14:textId="77777777" w:rsidR="00E2285C" w:rsidRDefault="00730313">
      <w:pPr>
        <w:widowControl w:val="0"/>
        <w:spacing w:beforeAutospacing="1" w:afterAutospacing="1"/>
        <w:rPr>
          <w:rFonts w:cs="Arial"/>
        </w:rPr>
      </w:pPr>
      <w:r>
        <w:rPr>
          <w:rFonts w:cs="Arial"/>
        </w:rPr>
        <w:t>Through the regional system of Coordinated Entry (CE), assistance is provided at the community level to inform people of availability of housing and services across the county. Each entry point has staff dedicated to CE and access to all available resources. The City and Balance of State Continuum of Care (CoC) and its North Shore members will continue to collaborate and to refer clients as needed to intensive voluntary case management services.  </w:t>
      </w:r>
    </w:p>
    <w:p w14:paraId="3456AE41" w14:textId="77777777" w:rsidR="00E2285C" w:rsidRDefault="00730313">
      <w:pPr>
        <w:widowControl w:val="0"/>
        <w:spacing w:beforeAutospacing="1" w:afterAutospacing="1"/>
        <w:rPr>
          <w:rFonts w:cs="Arial"/>
        </w:rPr>
      </w:pPr>
      <w:r>
        <w:rPr>
          <w:rFonts w:cs="Arial"/>
        </w:rPr>
        <w:t xml:space="preserve">Along with Community Action, Emmaus' Family Shelter, and CoC-funded entities, many agencies have increased job training, financial literacy/credit counseling, digital/IT training, health and wellness, and educational opportunities on an individual basis, working with </w:t>
      </w:r>
      <w:proofErr w:type="spellStart"/>
      <w:r>
        <w:rPr>
          <w:rFonts w:cs="Arial"/>
        </w:rPr>
        <w:t>MassHire</w:t>
      </w:r>
      <w:proofErr w:type="spellEnd"/>
      <w:r>
        <w:rPr>
          <w:rFonts w:cs="Arial"/>
        </w:rPr>
        <w:t xml:space="preserve"> Career Centers and MakeIT Haverhill </w:t>
      </w:r>
      <w:proofErr w:type="gramStart"/>
      <w:r>
        <w:rPr>
          <w:rFonts w:cs="Arial"/>
        </w:rPr>
        <w:t>in order to</w:t>
      </w:r>
      <w:proofErr w:type="gramEnd"/>
      <w:r>
        <w:rPr>
          <w:rFonts w:cs="Arial"/>
        </w:rPr>
        <w:t xml:space="preserve"> help obtain employment.  There are combined programs with ESOL and job training and GED/</w:t>
      </w:r>
      <w:proofErr w:type="spellStart"/>
      <w:r>
        <w:rPr>
          <w:rFonts w:cs="Arial"/>
        </w:rPr>
        <w:t>HiSet</w:t>
      </w:r>
      <w:proofErr w:type="spellEnd"/>
      <w:r>
        <w:rPr>
          <w:rFonts w:cs="Arial"/>
        </w:rPr>
        <w:t>.</w:t>
      </w:r>
    </w:p>
    <w:p w14:paraId="7C67C5F5" w14:textId="77777777" w:rsidR="00E2285C" w:rsidRDefault="00730313">
      <w:pPr>
        <w:widowControl w:val="0"/>
        <w:spacing w:beforeAutospacing="1" w:afterAutospacing="1"/>
        <w:rPr>
          <w:rFonts w:cs="Arial"/>
        </w:rPr>
      </w:pPr>
      <w:r>
        <w:rPr>
          <w:rFonts w:cs="Arial"/>
        </w:rPr>
        <w:t>The City remains engaged with regional efforts dedicated to homeless and unaccompanied youth, which typically represents the cohort of homeless that is most difficult to identify. The School Department's dedicated McKinney-Vento liaison remains involved </w:t>
      </w:r>
      <w:proofErr w:type="gramStart"/>
      <w:r>
        <w:rPr>
          <w:rFonts w:cs="Arial"/>
        </w:rPr>
        <w:t>in order to</w:t>
      </w:r>
      <w:proofErr w:type="gramEnd"/>
      <w:r>
        <w:rPr>
          <w:rFonts w:cs="Arial"/>
        </w:rPr>
        <w:t xml:space="preserve"> provide quality referrals for homeless and unaccompanied youth, utilizing over $20,000 in HUD support.  Post-Pandemic mass absenteeism </w:t>
      </w:r>
      <w:r>
        <w:rPr>
          <w:rFonts w:cs="Arial"/>
        </w:rPr>
        <w:lastRenderedPageBreak/>
        <w:t>among students is taking attention away from the McKinney liaison's focus on homelessness.  The other significant demand on the McKinney representative was connecting Haverhill Public School households to emergency resources such as food, rent and utility assistance.</w:t>
      </w:r>
    </w:p>
    <w:p w14:paraId="342239BF" w14:textId="77777777" w:rsidR="00E2285C" w:rsidRDefault="00730313">
      <w:pPr>
        <w:widowControl w:val="0"/>
        <w:spacing w:beforeAutospacing="1" w:afterAutospacing="1"/>
        <w:rPr>
          <w:rFonts w:cs="Arial"/>
        </w:rPr>
      </w:pPr>
      <w:r>
        <w:rPr>
          <w:rFonts w:cs="Arial"/>
          <w:i/>
        </w:rPr>
        <w:t> </w:t>
      </w:r>
    </w:p>
    <w:p w14:paraId="200E240A" w14:textId="77777777" w:rsidR="00FE3457" w:rsidRDefault="00FE3457">
      <w:pPr>
        <w:widowControl w:val="0"/>
        <w:rPr>
          <w:rFonts w:cs="Arial"/>
          <w:szCs w:val="26"/>
        </w:rPr>
      </w:pPr>
    </w:p>
    <w:p w14:paraId="59894A54" w14:textId="77777777" w:rsidR="00FE3457" w:rsidRDefault="005268B9">
      <w:pPr>
        <w:pStyle w:val="Heading2"/>
        <w:pageBreakBefore/>
        <w:widowControl w:val="0"/>
        <w:rPr>
          <w:rFonts w:ascii="Calibri" w:hAnsi="Calibri"/>
          <w:i w:val="0"/>
        </w:rPr>
      </w:pPr>
      <w:r>
        <w:rPr>
          <w:rFonts w:ascii="Calibri" w:hAnsi="Calibri"/>
          <w:i w:val="0"/>
        </w:rPr>
        <w:lastRenderedPageBreak/>
        <w:t>CR-30 - Public Housing 91.220(h); 91.320(j)</w:t>
      </w:r>
    </w:p>
    <w:p w14:paraId="02F56949" w14:textId="77777777" w:rsidR="00FE3457" w:rsidRDefault="005268B9">
      <w:pPr>
        <w:keepNext/>
        <w:widowControl w:val="0"/>
        <w:rPr>
          <w:b/>
          <w:sz w:val="24"/>
          <w:szCs w:val="24"/>
        </w:rPr>
      </w:pPr>
      <w:r>
        <w:rPr>
          <w:b/>
          <w:sz w:val="24"/>
          <w:szCs w:val="24"/>
        </w:rPr>
        <w:t>Actions taken to address the needs of public housing</w:t>
      </w:r>
    </w:p>
    <w:p w14:paraId="1BD4D729" w14:textId="77777777" w:rsidR="00E2285C" w:rsidRDefault="00730313">
      <w:pPr>
        <w:keepNext/>
        <w:widowControl w:val="0"/>
        <w:spacing w:beforeAutospacing="1" w:afterAutospacing="1"/>
        <w:rPr>
          <w:rFonts w:cs="Arial"/>
        </w:rPr>
      </w:pPr>
      <w:r>
        <w:rPr>
          <w:rFonts w:cs="Arial"/>
        </w:rPr>
        <w:t>The Haverhill Housing Authority (HHA) directly operates over 440 State-funded/assisted units at scattered sites throughout the City.  HHA also administered 517 Section 8 rental assistance vouchers over the past year. 467 of these Section 8 vouchers are mobile rental vouchers (MRVPs) which are used in private dwellings around the city and an additional 50 are used for community-based non-profit providers, mostly through the Massachusetts Department of Mental Health (DMH).  There was no funding for any additi</w:t>
      </w:r>
      <w:r>
        <w:rPr>
          <w:rFonts w:cs="Arial"/>
        </w:rPr>
        <w:t>onal slots or vouchers last year.  HHA also administers 58 federal public housing units and programs in neighboring Groveland, with 61 HHA units in total there, along with 126 units in Georgetown.  As of the most recent VMS report, the Haverhill Housing Authority (HHA) distributed over $5.4 million in Section 8 Housin</w:t>
      </w:r>
      <w:r>
        <w:rPr>
          <w:rFonts w:cs="Arial"/>
          <w:i/>
        </w:rPr>
        <w:t>g</w:t>
      </w:r>
      <w:r>
        <w:rPr>
          <w:rFonts w:cs="Arial"/>
        </w:rPr>
        <w:t xml:space="preserve"> Vouchers last year.  HHA utilizes the CHAMP system for their waiting lists for units; this system is administered by the Commonwealth (Executive Office of Housing and Livable Communities (EOH</w:t>
      </w:r>
      <w:r>
        <w:rPr>
          <w:rFonts w:cs="Arial"/>
        </w:rPr>
        <w:t>LC).</w:t>
      </w:r>
    </w:p>
    <w:p w14:paraId="4F4EF7DE" w14:textId="77777777" w:rsidR="00E2285C" w:rsidRDefault="00730313">
      <w:pPr>
        <w:keepNext/>
        <w:widowControl w:val="0"/>
        <w:spacing w:beforeAutospacing="1" w:afterAutospacing="1"/>
        <w:rPr>
          <w:rFonts w:cs="Arial"/>
        </w:rPr>
      </w:pPr>
      <w:r>
        <w:rPr>
          <w:rFonts w:cs="Arial"/>
        </w:rPr>
        <w:t>The City will continue to seek ways to solicit and address the needs of public housing residents.  For example, the City's Public Health Department provides regular health check-ups and screening services to HHA residents.  The City will provide community Resource Guides to HHA tenants.  In addition, the City is examining adding emergency generators for Julian Steele and other complexes through CDBG funds.</w:t>
      </w:r>
    </w:p>
    <w:p w14:paraId="2387E46E" w14:textId="77777777" w:rsidR="00E2285C" w:rsidRDefault="00730313">
      <w:pPr>
        <w:keepNext/>
        <w:widowControl w:val="0"/>
        <w:spacing w:beforeAutospacing="1" w:afterAutospacing="1"/>
        <w:rPr>
          <w:rFonts w:cs="Arial"/>
        </w:rPr>
      </w:pPr>
      <w:r>
        <w:rPr>
          <w:rFonts w:cs="Arial"/>
        </w:rPr>
        <w:t>Many HHA residents continue to be served by free (ARPA-funded) bus transit offered by the Merrimack Valley Regional Transit Authority (MVRTA).</w:t>
      </w:r>
    </w:p>
    <w:p w14:paraId="2F530F34" w14:textId="77777777" w:rsidR="00E2285C" w:rsidRDefault="00730313">
      <w:pPr>
        <w:keepNext/>
        <w:widowControl w:val="0"/>
        <w:spacing w:beforeAutospacing="1" w:afterAutospacing="1"/>
        <w:rPr>
          <w:rFonts w:cs="Arial"/>
        </w:rPr>
      </w:pPr>
      <w:r>
        <w:rPr>
          <w:rFonts w:cs="Arial"/>
        </w:rPr>
        <w:t>In PY24, the HHA received $693,000 to provide new code-compliant and energy-efficient electric stoves to replace old gas-powered stoves at the Bradford Terrace, Julian Steele and Kennedy Circle complexes.  This grant is also paying for installation of new electric master boxes.</w:t>
      </w:r>
    </w:p>
    <w:p w14:paraId="207AFD0F" w14:textId="77777777" w:rsidR="00E2285C" w:rsidRDefault="00730313">
      <w:pPr>
        <w:keepNext/>
        <w:widowControl w:val="0"/>
        <w:spacing w:beforeAutospacing="1" w:afterAutospacing="1"/>
        <w:rPr>
          <w:rFonts w:cs="Arial"/>
        </w:rPr>
      </w:pPr>
      <w:r>
        <w:rPr>
          <w:rFonts w:cs="Arial"/>
        </w:rPr>
        <w:t xml:space="preserve">The City periodically attends meetings of the Haverhill Housing Authority Board.  During PY24, the HHA worked on getting vacant or cleared-out units back online, with a priority being 10-12 vacant units in the front facade of the Washington Square complex that required relocation for tenants while emergency structural repairs were made.  This project should hopefully </w:t>
      </w:r>
      <w:proofErr w:type="gramStart"/>
      <w:r>
        <w:rPr>
          <w:rFonts w:cs="Arial"/>
        </w:rPr>
        <w:t>complete</w:t>
      </w:r>
      <w:proofErr w:type="gramEnd"/>
      <w:r>
        <w:rPr>
          <w:rFonts w:cs="Arial"/>
        </w:rPr>
        <w:t xml:space="preserve"> over the next year.</w:t>
      </w:r>
    </w:p>
    <w:p w14:paraId="294AE0A6" w14:textId="77777777" w:rsidR="00E2285C" w:rsidRDefault="00730313">
      <w:pPr>
        <w:keepNext/>
        <w:widowControl w:val="0"/>
        <w:spacing w:beforeAutospacing="1" w:afterAutospacing="1"/>
        <w:rPr>
          <w:rFonts w:cs="Arial"/>
        </w:rPr>
      </w:pPr>
      <w:r>
        <w:rPr>
          <w:rFonts w:cs="Arial"/>
        </w:rPr>
        <w:t xml:space="preserve">Improvements that address public housing residents' </w:t>
      </w:r>
      <w:proofErr w:type="gramStart"/>
      <w:r>
        <w:rPr>
          <w:rFonts w:cs="Arial"/>
        </w:rPr>
        <w:t>need</w:t>
      </w:r>
      <w:proofErr w:type="gramEnd"/>
      <w:r>
        <w:rPr>
          <w:rFonts w:cs="Arial"/>
        </w:rPr>
        <w:t xml:space="preserve"> include a digital retrofit at HHA properties. WeWork will provide reliable, lower cost, high-quality internet </w:t>
      </w:r>
      <w:proofErr w:type="gramStart"/>
      <w:r>
        <w:rPr>
          <w:rFonts w:cs="Arial"/>
        </w:rPr>
        <w:t>connectivity</w:t>
      </w:r>
      <w:proofErr w:type="gramEnd"/>
      <w:r>
        <w:rPr>
          <w:rFonts w:cs="Arial"/>
        </w:rPr>
        <w:t xml:space="preserve"> in 2026-27 for residents.  HHA is also launching a new tenant rent portal that makes it easier for residents to quickly pay their rent, check on their status, set reminders, etc.</w:t>
      </w:r>
    </w:p>
    <w:p w14:paraId="3898FC9F" w14:textId="77777777" w:rsidR="00E2285C" w:rsidRDefault="00730313">
      <w:pPr>
        <w:keepNext/>
        <w:widowControl w:val="0"/>
        <w:spacing w:beforeAutospacing="1" w:afterAutospacing="1"/>
        <w:rPr>
          <w:rFonts w:cs="Arial"/>
        </w:rPr>
      </w:pPr>
      <w:r>
        <w:rPr>
          <w:rFonts w:cs="Arial"/>
        </w:rPr>
        <w:t>The extremely long waiting lists for Haverhill Housing Authority (HHA) units are measured in years, not months.  This dynamic remains of critical concern for the City and many Haverhill residents.</w:t>
      </w:r>
    </w:p>
    <w:p w14:paraId="60204211" w14:textId="77777777" w:rsidR="00FE3457" w:rsidRDefault="005268B9">
      <w:pPr>
        <w:widowControl w:val="0"/>
        <w:rPr>
          <w:b/>
          <w:sz w:val="24"/>
          <w:szCs w:val="24"/>
        </w:rPr>
      </w:pPr>
      <w:r>
        <w:rPr>
          <w:b/>
          <w:sz w:val="24"/>
          <w:szCs w:val="24"/>
        </w:rPr>
        <w:t xml:space="preserve">Actions taken to encourage public housing residents to become more involved in </w:t>
      </w:r>
      <w:r>
        <w:rPr>
          <w:b/>
          <w:sz w:val="24"/>
          <w:szCs w:val="24"/>
        </w:rPr>
        <w:lastRenderedPageBreak/>
        <w:t>management and participate in homeownership</w:t>
      </w:r>
    </w:p>
    <w:p w14:paraId="50936C01" w14:textId="77777777" w:rsidR="00E2285C" w:rsidRDefault="00730313">
      <w:pPr>
        <w:widowControl w:val="0"/>
        <w:spacing w:beforeAutospacing="1" w:afterAutospacing="1"/>
        <w:rPr>
          <w:rFonts w:cs="Arial"/>
        </w:rPr>
      </w:pPr>
      <w:proofErr w:type="gramStart"/>
      <w:r>
        <w:rPr>
          <w:rFonts w:cs="Arial"/>
        </w:rPr>
        <w:t>The HHA</w:t>
      </w:r>
      <w:proofErr w:type="gramEnd"/>
      <w:r>
        <w:rPr>
          <w:rFonts w:cs="Arial"/>
        </w:rPr>
        <w:t xml:space="preserve"> applied for and was awarded a HUD grant of $82,000 to continue the </w:t>
      </w:r>
      <w:proofErr w:type="gramStart"/>
      <w:r>
        <w:rPr>
          <w:rFonts w:cs="Arial"/>
        </w:rPr>
        <w:t>Congressionally-funded</w:t>
      </w:r>
      <w:proofErr w:type="gramEnd"/>
      <w:r>
        <w:rPr>
          <w:rFonts w:cs="Arial"/>
        </w:rPr>
        <w:t xml:space="preserve"> Family Self-Sufficiency (FSS) program. The FSS program is designed to place some rental savings into savings accounts to fund down-payments for future home purchases, among other uses.  There are 30 participants in this FSS program as of the end of PY24, with over $12,000 per month being escrowed.  HHA residents are made aware of the City's First-Time Home </w:t>
      </w:r>
      <w:proofErr w:type="gramStart"/>
      <w:r>
        <w:rPr>
          <w:rFonts w:cs="Arial"/>
        </w:rPr>
        <w:t>Ownership  and</w:t>
      </w:r>
      <w:proofErr w:type="gramEnd"/>
      <w:r>
        <w:rPr>
          <w:rFonts w:cs="Arial"/>
        </w:rPr>
        <w:t xml:space="preserve"> health/wellness programs and other State offeri</w:t>
      </w:r>
      <w:r>
        <w:rPr>
          <w:rFonts w:cs="Arial"/>
        </w:rPr>
        <w:t>ngs as well, through the distribution of flyers and notices. The FSS Coordinator helps tenants receive training and services to improve their economic self-sufficiency.  The FSS Coordinator also provides coaching and develops local strategies to connect participating families with public and private resources to build savings, gain employment and achieve financial independence.</w:t>
      </w:r>
    </w:p>
    <w:p w14:paraId="42A3366F" w14:textId="77777777" w:rsidR="00E2285C" w:rsidRDefault="00730313">
      <w:pPr>
        <w:widowControl w:val="0"/>
        <w:spacing w:beforeAutospacing="1" w:afterAutospacing="1"/>
        <w:rPr>
          <w:rFonts w:cs="Arial"/>
        </w:rPr>
      </w:pPr>
      <w:r>
        <w:rPr>
          <w:rFonts w:cs="Arial"/>
        </w:rPr>
        <w:t xml:space="preserve">Additionally, a Resident Services Coordinator-- hired by HHA in 2022 through </w:t>
      </w:r>
      <w:proofErr w:type="spellStart"/>
      <w:r>
        <w:rPr>
          <w:rFonts w:cs="Arial"/>
        </w:rPr>
        <w:t>AgeSpan</w:t>
      </w:r>
      <w:proofErr w:type="spellEnd"/>
      <w:r>
        <w:rPr>
          <w:rFonts w:cs="Arial"/>
        </w:rPr>
        <w:t xml:space="preserve"> (formerly Elder Services of Merrimack Valley) from a State (Department of Housing and Livable Communities) grant-- remains on the job and fully engaged with many HHA residents.</w:t>
      </w:r>
    </w:p>
    <w:p w14:paraId="0A6C1286" w14:textId="77777777" w:rsidR="00E2285C" w:rsidRDefault="00730313">
      <w:pPr>
        <w:widowControl w:val="0"/>
        <w:spacing w:beforeAutospacing="1" w:afterAutospacing="1"/>
        <w:rPr>
          <w:rFonts w:cs="Arial"/>
        </w:rPr>
      </w:pPr>
      <w:r>
        <w:rPr>
          <w:rFonts w:cs="Arial"/>
        </w:rPr>
        <w:t>There is a Resident Seat on the 5-person HHA Board, which holds regular monthly public meetings. The Tenant Representative on the Board makes management aware of the views and concerns of residents and vice versa.  This more directly involves residents in management decisions and policies. Members of the Section 8 Program also have their own Resident Advisory Board, which provides feedback on the Section 8 program to HUD.  A new Tenant Organization at Kennedy Circle was recently created and received a $2,00</w:t>
      </w:r>
      <w:r>
        <w:rPr>
          <w:rFonts w:cs="Arial"/>
        </w:rPr>
        <w:t>0 budget for organizational and community activities at this senior living complex in Riverside.  This group joins an existing Tenant Council at the HHA's South Webster complex in Bradford.</w:t>
      </w:r>
    </w:p>
    <w:p w14:paraId="6F0F5C1E" w14:textId="77777777" w:rsidR="00E2285C" w:rsidRDefault="00730313">
      <w:pPr>
        <w:widowControl w:val="0"/>
        <w:spacing w:beforeAutospacing="1" w:afterAutospacing="1"/>
        <w:rPr>
          <w:rFonts w:cs="Arial"/>
        </w:rPr>
      </w:pPr>
      <w:r>
        <w:rPr>
          <w:rFonts w:cs="Arial"/>
        </w:rPr>
        <w:t>The HHA will continue to assist with the current housing crisis, by means of securing any additional HUD voucher programs suitable to the needs of the Haverhill community.</w:t>
      </w:r>
    </w:p>
    <w:p w14:paraId="3B4DE901" w14:textId="77777777" w:rsidR="00E2285C" w:rsidRDefault="00730313">
      <w:pPr>
        <w:widowControl w:val="0"/>
        <w:spacing w:beforeAutospacing="1" w:afterAutospacing="1"/>
        <w:rPr>
          <w:rFonts w:cs="Arial"/>
        </w:rPr>
      </w:pPr>
      <w:r>
        <w:rPr>
          <w:rFonts w:cs="Arial"/>
        </w:rPr>
        <w:t>HHA residents were referred to Community Action Inc. (CAI) for various supportive services, including job training, ESOL and</w:t>
      </w:r>
      <w:r>
        <w:rPr>
          <w:rFonts w:cs="Arial"/>
          <w:b/>
        </w:rPr>
        <w:t> </w:t>
      </w:r>
      <w:r>
        <w:rPr>
          <w:rFonts w:cs="Arial"/>
        </w:rPr>
        <w:t>credit and other financial literacy skills.  HHA and CAI have Downtown headquarters next door to each other in Washington Square.  The City seeks to cultivate a more comprehensive relationship between these agencies.</w:t>
      </w:r>
      <w:r>
        <w:rPr>
          <w:rFonts w:cs="Arial"/>
          <w:b/>
        </w:rPr>
        <w:br/>
      </w:r>
    </w:p>
    <w:p w14:paraId="36F099D0" w14:textId="77777777" w:rsidR="00E2285C" w:rsidRDefault="00E2285C">
      <w:pPr>
        <w:widowControl w:val="0"/>
        <w:spacing w:beforeAutospacing="1" w:afterAutospacing="1"/>
        <w:rPr>
          <w:rFonts w:cs="Arial"/>
        </w:rPr>
      </w:pPr>
    </w:p>
    <w:p w14:paraId="4749A138" w14:textId="77777777" w:rsidR="00FE3457" w:rsidRDefault="005268B9">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6EBAC752" w14:textId="77777777" w:rsidR="00E2285C" w:rsidRDefault="00730313">
      <w:pPr>
        <w:widowControl w:val="0"/>
        <w:spacing w:beforeAutospacing="1" w:afterAutospacing="1"/>
        <w:rPr>
          <w:rFonts w:cs="Arial"/>
        </w:rPr>
      </w:pPr>
      <w:r>
        <w:rPr>
          <w:rFonts w:cs="Arial"/>
        </w:rPr>
        <w:t>Not Applicable</w:t>
      </w:r>
      <w:proofErr w:type="gramStart"/>
      <w:r>
        <w:rPr>
          <w:rFonts w:cs="Arial"/>
        </w:rPr>
        <w:t>-  The</w:t>
      </w:r>
      <w:proofErr w:type="gramEnd"/>
      <w:r>
        <w:rPr>
          <w:rFonts w:cs="Arial"/>
        </w:rPr>
        <w:t xml:space="preserve"> Haverhill Housing Authority is not classified as a 'troubled' Public Housing Authority and is well managed.</w:t>
      </w:r>
    </w:p>
    <w:p w14:paraId="0E7D76CC" w14:textId="77777777" w:rsidR="00FE3457" w:rsidRDefault="005268B9">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7E433A0F" w14:textId="77777777" w:rsidR="00FE3457" w:rsidRDefault="005268B9">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74175C5D" w14:textId="77777777" w:rsidR="00E2285C" w:rsidRDefault="00730313">
      <w:pPr>
        <w:widowControl w:val="0"/>
        <w:spacing w:beforeAutospacing="1" w:afterAutospacing="1"/>
        <w:rPr>
          <w:rFonts w:cs="Arial"/>
        </w:rPr>
      </w:pPr>
      <w:r>
        <w:rPr>
          <w:rFonts w:cs="Arial"/>
        </w:rPr>
        <w:t xml:space="preserve">Several public policies may effectively serve as barriers to affordable housing.  These </w:t>
      </w:r>
      <w:proofErr w:type="gramStart"/>
      <w:r>
        <w:rPr>
          <w:rFonts w:cs="Arial"/>
        </w:rPr>
        <w:t>include:</w:t>
      </w:r>
      <w:proofErr w:type="gramEnd"/>
      <w:r>
        <w:rPr>
          <w:rFonts w:cs="Arial"/>
        </w:rPr>
        <w:t xml:space="preserve"> lead-based paint regulations; inclusionary zoning; foreclosure laws; fire and ADA building codes; choice-limiting action; certain environmental review requirements; and taxes.  Reforming those policies under direct City control during this period is a doable goal.</w:t>
      </w:r>
    </w:p>
    <w:p w14:paraId="3F3F52FF" w14:textId="77777777" w:rsidR="00E2285C" w:rsidRDefault="00730313">
      <w:pPr>
        <w:widowControl w:val="0"/>
        <w:spacing w:beforeAutospacing="1" w:afterAutospacing="1"/>
        <w:rPr>
          <w:rFonts w:cs="Arial"/>
        </w:rPr>
      </w:pPr>
      <w:r>
        <w:rPr>
          <w:rFonts w:cs="Arial"/>
        </w:rPr>
        <w:t xml:space="preserve">In terms of lead-based paint, the costs of mitigation can be exorbitant, dissuading some developers and even homeowners from moving ahead with worthy rehabilitation or needed expansion projects. Some landlords have left apartments vacant over lead-based paint concerns. Other owners routinely avoid </w:t>
      </w:r>
      <w:proofErr w:type="gramStart"/>
      <w:r>
        <w:rPr>
          <w:rFonts w:cs="Arial"/>
        </w:rPr>
        <w:t>renting to</w:t>
      </w:r>
      <w:proofErr w:type="gramEnd"/>
      <w:r>
        <w:rPr>
          <w:rFonts w:cs="Arial"/>
        </w:rPr>
        <w:t xml:space="preserve"> households with young children due to fears of liability over lead poisoning, despite these actions being egregious Fair Housing violations.</w:t>
      </w:r>
    </w:p>
    <w:p w14:paraId="7B5FDA2C" w14:textId="77777777" w:rsidR="00E2285C" w:rsidRDefault="00730313">
      <w:pPr>
        <w:widowControl w:val="0"/>
        <w:spacing w:beforeAutospacing="1" w:afterAutospacing="1"/>
        <w:rPr>
          <w:rFonts w:cs="Arial"/>
        </w:rPr>
      </w:pPr>
      <w:r>
        <w:rPr>
          <w:rFonts w:cs="Arial"/>
        </w:rPr>
        <w:t xml:space="preserve">Actions taken to overcome these barriers include usage of CDBG funds for </w:t>
      </w:r>
      <w:proofErr w:type="spellStart"/>
      <w:r>
        <w:rPr>
          <w:rFonts w:cs="Arial"/>
        </w:rPr>
        <w:t>deleading</w:t>
      </w:r>
      <w:proofErr w:type="spellEnd"/>
      <w:r>
        <w:rPr>
          <w:rFonts w:cs="Arial"/>
        </w:rPr>
        <w:t xml:space="preserve"> properties through the HRCCP, as well as connection with </w:t>
      </w:r>
      <w:proofErr w:type="spellStart"/>
      <w:r>
        <w:rPr>
          <w:rFonts w:cs="Arial"/>
        </w:rPr>
        <w:t>MassHousing's</w:t>
      </w:r>
      <w:proofErr w:type="spellEnd"/>
      <w:r>
        <w:rPr>
          <w:rFonts w:cs="Arial"/>
        </w:rPr>
        <w:t xml:space="preserve"> 'Get the Lead Out' program. A State-reimbursed agent for "Get the Lead Out,' the City processes applications and oversees the </w:t>
      </w:r>
      <w:proofErr w:type="gramStart"/>
      <w:r>
        <w:rPr>
          <w:rFonts w:cs="Arial"/>
        </w:rPr>
        <w:t>privately-selected</w:t>
      </w:r>
      <w:proofErr w:type="gramEnd"/>
      <w:r>
        <w:rPr>
          <w:rFonts w:cs="Arial"/>
        </w:rPr>
        <w:t xml:space="preserve"> lead contractors as part of its program administration.  The CDD also makes strategic housing rehabilitation decisions with respect to disturbing lead-based paint.  As detailed below, $72,207.44 in CDBG funds were directly expended for de-leading actions in PY24, an increase from Progr</w:t>
      </w:r>
      <w:r>
        <w:rPr>
          <w:rFonts w:cs="Arial"/>
        </w:rPr>
        <w:t xml:space="preserve">am Year 2024.  This does not include $145,400 in </w:t>
      </w:r>
      <w:proofErr w:type="spellStart"/>
      <w:r>
        <w:rPr>
          <w:rFonts w:cs="Arial"/>
        </w:rPr>
        <w:t>MassHousing's</w:t>
      </w:r>
      <w:proofErr w:type="spellEnd"/>
      <w:r>
        <w:rPr>
          <w:rFonts w:cs="Arial"/>
        </w:rPr>
        <w:t xml:space="preserve"> Get the Lead Out program funding.</w:t>
      </w:r>
    </w:p>
    <w:p w14:paraId="2741CC83" w14:textId="77777777" w:rsidR="00E2285C" w:rsidRDefault="00730313">
      <w:pPr>
        <w:widowControl w:val="0"/>
        <w:spacing w:beforeAutospacing="1" w:afterAutospacing="1"/>
        <w:rPr>
          <w:rFonts w:cs="Arial"/>
        </w:rPr>
      </w:pPr>
      <w:r>
        <w:rPr>
          <w:rFonts w:cs="Arial"/>
        </w:rPr>
        <w:t>A prior lack of a coherent Inclusionary Zoning policy previously hurt development of affordable housing units.  Actions taken to overcome these barriers include: adoption of Smart Growth zoning principles, such as the Waterfront Overlay District; submission of the MBTA Communities zone (which provides multi-family housing by-right near transit); approval of the Haverhill:2035 Master Plan; Housing Development Incentive Program [HDIP] implementation to drive market rate housing in Gateway City downtowns; adop</w:t>
      </w:r>
      <w:r>
        <w:rPr>
          <w:rFonts w:cs="Arial"/>
        </w:rPr>
        <w:t xml:space="preserve">tion of a 5-Year Housing Production Plan in 2025; and most notably, reformed Inclusionary Zoning regulations.  This proposal allows developers </w:t>
      </w:r>
      <w:proofErr w:type="gramStart"/>
      <w:r>
        <w:rPr>
          <w:rFonts w:cs="Arial"/>
        </w:rPr>
        <w:t>a choice</w:t>
      </w:r>
      <w:proofErr w:type="gramEnd"/>
      <w:r>
        <w:rPr>
          <w:rFonts w:cs="Arial"/>
        </w:rPr>
        <w:t xml:space="preserve"> either to pay into a Housing Trust Fund that could supplement local formula HOME funds or to construct affordable units, providing a density bonus, in comparison to neighboring communities.  </w:t>
      </w:r>
    </w:p>
    <w:p w14:paraId="224F8141" w14:textId="77777777" w:rsidR="00E2285C" w:rsidRDefault="00730313">
      <w:pPr>
        <w:widowControl w:val="0"/>
        <w:spacing w:beforeAutospacing="1" w:afterAutospacing="1"/>
        <w:rPr>
          <w:rFonts w:cs="Arial"/>
        </w:rPr>
      </w:pPr>
      <w:r>
        <w:rPr>
          <w:rFonts w:cs="Arial"/>
        </w:rPr>
        <w:t>Foreclosure laws intended to protect lenders have been a common link in creating abandoned properties that are blighting influences on neighborhoods rich and poor. These vacant properties can drive down property values for entire neighborhoods and often pose significant public safety issues.</w:t>
      </w:r>
    </w:p>
    <w:p w14:paraId="5F1E4EE9" w14:textId="77777777" w:rsidR="00E2285C" w:rsidRDefault="00730313">
      <w:pPr>
        <w:widowControl w:val="0"/>
        <w:spacing w:beforeAutospacing="1" w:afterAutospacing="1"/>
        <w:rPr>
          <w:rFonts w:cs="Arial"/>
        </w:rPr>
      </w:pPr>
      <w:r>
        <w:rPr>
          <w:rFonts w:cs="Arial"/>
        </w:rPr>
        <w:t xml:space="preserve">Actions taken to overcome this </w:t>
      </w:r>
      <w:proofErr w:type="gramStart"/>
      <w:r>
        <w:rPr>
          <w:rFonts w:cs="Arial"/>
        </w:rPr>
        <w:t>include:</w:t>
      </w:r>
      <w:proofErr w:type="gramEnd"/>
      <w:r>
        <w:rPr>
          <w:rFonts w:cs="Arial"/>
        </w:rPr>
        <w:t xml:space="preserve"> maintaining a Vacant Property Manager to maintain the City's Vacant Property registry; pursuing property Receiverships in Housing Court to complement greater </w:t>
      </w:r>
      <w:r>
        <w:rPr>
          <w:rFonts w:cs="Arial"/>
        </w:rPr>
        <w:lastRenderedPageBreak/>
        <w:t>identification, working with the Attorney General's office, prevention and rehabilitation efforts; and most importantly, aggressive Code Enforcement efforts (IDIS #1464)</w:t>
      </w:r>
      <w:r>
        <w:rPr>
          <w:rFonts w:cs="Arial"/>
          <w:i/>
        </w:rPr>
        <w:t>.</w:t>
      </w:r>
      <w:r>
        <w:rPr>
          <w:rFonts w:cs="Arial"/>
        </w:rPr>
        <w:t xml:space="preserve">  In PY 2024, </w:t>
      </w:r>
      <w:proofErr w:type="spellStart"/>
      <w:r>
        <w:rPr>
          <w:rFonts w:cs="Arial"/>
        </w:rPr>
        <w:t>Tolemi</w:t>
      </w:r>
      <w:proofErr w:type="spellEnd"/>
      <w:r>
        <w:rPr>
          <w:rFonts w:cs="Arial"/>
        </w:rPr>
        <w:t xml:space="preserve"> Software's automated vacant property predictive analysis tool (Building Blocks) continued to be utilized.</w:t>
      </w:r>
    </w:p>
    <w:p w14:paraId="28C6389B" w14:textId="77777777" w:rsidR="00E2285C" w:rsidRDefault="00730313">
      <w:r>
        <w:rPr>
          <w:rFonts w:cs="Arial"/>
          <w:b/>
        </w:rPr>
        <w:t>I-Actions to Remove Negative Effects of Public Policies that Serve as Barriers to Affordable Housing</w:t>
      </w:r>
    </w:p>
    <w:p w14:paraId="577664BB" w14:textId="77777777" w:rsidR="00E2285C" w:rsidRDefault="00730313">
      <w:pPr>
        <w:widowControl w:val="0"/>
        <w:spacing w:beforeAutospacing="1" w:afterAutospacing="1"/>
        <w:rPr>
          <w:rFonts w:cs="Arial"/>
        </w:rPr>
      </w:pPr>
      <w:r>
        <w:t xml:space="preserve">Fire and ADA building codes- Building Codes are always changing and seemingly always growing more stringent.  These changes sometimes have the unintended effect of making housing construction infeasible.  ACTION: The City is working to notify and warn developers of pertinent changes to various code requirements so that they do not negatively stultify housing production.  ACTION: Likewise, the CDD works closely with the Fire Department in the Plan Review Committee </w:t>
      </w:r>
      <w:proofErr w:type="gramStart"/>
      <w:r>
        <w:t>so as to</w:t>
      </w:r>
      <w:proofErr w:type="gramEnd"/>
      <w:r>
        <w:t xml:space="preserve"> not let Fire codes or their interpretation deter production of affordable units.  The City is committed to safe, energy efficient, and decent housing, but a balance is needed to ensure that enforcement of codes does not suffocate any new housing units. The City participates in MassINC's efforts to review 30% redevelopment rules and other State Building Code regulations. Choice Limiting Actions and Environmental Review Requirements can affect the timing of projects that seek to utilize federal funds</w:t>
      </w:r>
      <w:r>
        <w:t xml:space="preserve"> in a manner that can threaten their practical implementation.  It can cost a great deal of time, money and analysis for developers only to determine that a project cannot move forward.  Most housing developers, especially those producing affordable housing, cannot afford to operate this way.  ACTION: The City tries to help with completing Environmental Reviews with staff assistance, consultants and administrative funds, including Brownfields grants, </w:t>
      </w:r>
      <w:proofErr w:type="gramStart"/>
      <w:r>
        <w:t>in order to</w:t>
      </w:r>
      <w:proofErr w:type="gramEnd"/>
      <w:r>
        <w:t xml:space="preserve"> drive down pre-development costs for worthy p</w:t>
      </w:r>
      <w:r>
        <w:t>rojects. Taxes- High taxes can limit housing production.  ACTION- The City may offer certain projects Tax Increment Finance [TIF] deals through the Housing Development Incentive (HDIP) program for market-rate units in Gateway Cities, as well as support with historic rehabilitation tax credits to spur affordable housing development.</w:t>
      </w:r>
    </w:p>
    <w:p w14:paraId="74032C47" w14:textId="77777777" w:rsidR="00FE3457" w:rsidRDefault="005268B9">
      <w:pPr>
        <w:widowControl w:val="0"/>
        <w:rPr>
          <w:b/>
          <w:sz w:val="24"/>
          <w:szCs w:val="24"/>
        </w:rPr>
      </w:pPr>
      <w:r>
        <w:rPr>
          <w:b/>
          <w:sz w:val="24"/>
          <w:szCs w:val="24"/>
        </w:rPr>
        <w:t>Actions taken to address obstacles to meeting underserved needs.  91.220(k); 91.320(j)</w:t>
      </w:r>
    </w:p>
    <w:p w14:paraId="38C69189" w14:textId="77777777" w:rsidR="00E2285C" w:rsidRDefault="00730313">
      <w:pPr>
        <w:widowControl w:val="0"/>
        <w:spacing w:beforeAutospacing="1" w:afterAutospacing="1"/>
        <w:rPr>
          <w:rFonts w:cs="Arial"/>
        </w:rPr>
      </w:pPr>
      <w:r>
        <w:rPr>
          <w:rFonts w:cs="Arial"/>
        </w:rPr>
        <w:t xml:space="preserve">There are also changes and forces that are creating an unstable economic development </w:t>
      </w:r>
      <w:proofErr w:type="spellStart"/>
      <w:r>
        <w:rPr>
          <w:rFonts w:cs="Arial"/>
        </w:rPr>
        <w:t>cllimate</w:t>
      </w:r>
      <w:proofErr w:type="spellEnd"/>
      <w:r>
        <w:rPr>
          <w:rFonts w:cs="Arial"/>
        </w:rPr>
        <w:t xml:space="preserve">, forcing constant reevaluation of CDBG-funded Economic Development activities.  While overall unemployment remains low, joblessness has slowly and steadily risen from a 60-year low reached in </w:t>
      </w:r>
      <w:proofErr w:type="gramStart"/>
      <w:r>
        <w:rPr>
          <w:rFonts w:cs="Arial"/>
        </w:rPr>
        <w:t>May,</w:t>
      </w:r>
      <w:proofErr w:type="gramEnd"/>
      <w:r>
        <w:rPr>
          <w:rFonts w:cs="Arial"/>
        </w:rPr>
        <w:t xml:space="preserve"> 2023 during the middle of the </w:t>
      </w:r>
      <w:proofErr w:type="spellStart"/>
      <w:r>
        <w:rPr>
          <w:rFonts w:cs="Arial"/>
        </w:rPr>
        <w:t>ConPlan</w:t>
      </w:r>
      <w:proofErr w:type="spellEnd"/>
      <w:r>
        <w:rPr>
          <w:rFonts w:cs="Arial"/>
        </w:rPr>
        <w:t xml:space="preserve"> period.  Also, the nature of work and commerce has been seemingly forever changed by the Pandemic, with more people working from home rather than commuting to an office, and with more people making online purchases than just going to 'brick-and-mortar' stores.  This c</w:t>
      </w:r>
      <w:r>
        <w:rPr>
          <w:rFonts w:cs="Arial"/>
        </w:rPr>
        <w:t xml:space="preserve">reates challenges for Haverhill and other cities to fill office and retail space to create economic vibrancy and not </w:t>
      </w:r>
      <w:proofErr w:type="gramStart"/>
      <w:r>
        <w:rPr>
          <w:rFonts w:cs="Arial"/>
        </w:rPr>
        <w:t>vacancy</w:t>
      </w:r>
      <w:proofErr w:type="gramEnd"/>
      <w:r>
        <w:rPr>
          <w:rFonts w:cs="Arial"/>
        </w:rPr>
        <w:t>.  Many people who dropped out of the workforce during the Pandemic have remained out, so labor participation continues to be a significant concern.  Access to jobs and job training, including English language classes, along with lending and financial support for new microenterprises and entrepreneurs, remains elusive for many.  Childcare continues to be a significant factor keeping ma</w:t>
      </w:r>
      <w:r>
        <w:rPr>
          <w:rFonts w:cs="Arial"/>
        </w:rPr>
        <w:t>ny families out of the workforce and out of poverty.</w:t>
      </w:r>
    </w:p>
    <w:p w14:paraId="34CA046B" w14:textId="77777777" w:rsidR="00E2285C" w:rsidRDefault="00730313">
      <w:r>
        <w:rPr>
          <w:rFonts w:cs="Arial"/>
          <w:b/>
        </w:rPr>
        <w:t>Meeting Underserved Needs II</w:t>
      </w:r>
    </w:p>
    <w:p w14:paraId="451859EF" w14:textId="77777777" w:rsidR="00E2285C" w:rsidRDefault="00730313">
      <w:pPr>
        <w:widowControl w:val="0"/>
        <w:spacing w:beforeAutospacing="1" w:afterAutospacing="1"/>
        <w:rPr>
          <w:rFonts w:cs="Arial"/>
        </w:rPr>
      </w:pPr>
      <w:r>
        <w:lastRenderedPageBreak/>
        <w:t>Opiate addiction- Post-COVID, the gravest public health crisis facing the city, state and nation is the opioid crisis.  While fatalities from overdoses declined in the community, the level of overdoses remained high. Drugs laced with deadly fentanyl are still obtainable. While a city-wide problem, overdoses tracked by Trinity Ambulance by neighborhood reveal that Haverhill's CDBG Target Areas continue to be the most affected. Community policing, additional police hires and patrols, gang prevention and eradi</w:t>
      </w:r>
      <w:r>
        <w:t>cation efforts, treatment options, etc. mark critical advancements.   There is a need to reengage court officials, local law enforcement, churches, non-profits, parents, citizens, the School Department, recovering addicts and others in a grassroots effort. Community Development presence at Recovery Fairs is making such inroads. There remains a need for significant grant funding in this area, but previous efforts to obtain Drug Free Community Services and other grants were mostly unsuccessful.  A revived coa</w:t>
      </w:r>
      <w:r>
        <w:t xml:space="preserve">lition has been organized to make an improved attempt at this grant, yielding significant programming (i.e. Drug Story Theater, Recovery Fairs and other outreach events). CDBG resources were used in PY24 where </w:t>
      </w:r>
      <w:proofErr w:type="gramStart"/>
      <w:r>
        <w:t>possible</w:t>
      </w:r>
      <w:proofErr w:type="gramEnd"/>
      <w:r>
        <w:t xml:space="preserve"> to address this need, </w:t>
      </w:r>
      <w:proofErr w:type="gramStart"/>
      <w:r>
        <w:t>including:</w:t>
      </w:r>
      <w:proofErr w:type="gramEnd"/>
      <w:r>
        <w:t xml:space="preserve"> Recovery training and substance abuse treatment services provided by The Surrender Room (IDIS #1489); Services provided free health screenings offered by the Homeless Drop-In Center (IDIS #1473) and the public health van next to Common Ground Ministries (IDIS </w:t>
      </w:r>
      <w:r>
        <w:t xml:space="preserve">#1483).   The Haverhill Police Department already carries </w:t>
      </w:r>
      <w:proofErr w:type="gramStart"/>
      <w:r>
        <w:t>Narcan</w:t>
      </w:r>
      <w:proofErr w:type="gramEnd"/>
      <w:r>
        <w:t xml:space="preserve"> and it makes a life-or-death difference. Identifying Transient Youth- The City is working with the Continuum of Care, the Haverhill Public School full-time dedicated McKinney Liaison Officer, and several sub-recipients on this issue.  There are couch-surfing youth dealing with a variety of problems, from abuse to addiction, gender identity rejection, pregnancy to unstable housing, who need to be connected to resources and better understood. Em</w:t>
      </w:r>
      <w:r>
        <w:t>maus, CAI, the YMCA (Teen Programming IDIS #1430), YWCA, Somebody Cares Youth Center on the Hill (IDIS #1486), Pregnancy Care Center's Mother/Child program (IDIS #1470) and others are all working together on this issue.</w:t>
      </w:r>
    </w:p>
    <w:p w14:paraId="523EF03A" w14:textId="77777777" w:rsidR="00E2285C" w:rsidRDefault="00730313">
      <w:r>
        <w:rPr>
          <w:rFonts w:cs="Arial"/>
          <w:b/>
        </w:rPr>
        <w:t>Meeting Underserved Needs III</w:t>
      </w:r>
    </w:p>
    <w:p w14:paraId="5392C912" w14:textId="77777777" w:rsidR="00E2285C" w:rsidRDefault="00730313">
      <w:pPr>
        <w:widowControl w:val="0"/>
        <w:spacing w:beforeAutospacing="1" w:afterAutospacing="1"/>
        <w:rPr>
          <w:rFonts w:cs="Arial"/>
        </w:rPr>
      </w:pPr>
      <w:r>
        <w:t xml:space="preserve">Gangs and Gang Violence- Gang activity and resulting gang violence continue to be a concern.  Youth in middle schools are being recruited into gangs such as </w:t>
      </w:r>
      <w:proofErr w:type="spellStart"/>
      <w:r>
        <w:t>Trinitarios</w:t>
      </w:r>
      <w:proofErr w:type="spellEnd"/>
      <w:r>
        <w:t xml:space="preserve">, Crazy White Boys, </w:t>
      </w:r>
      <w:proofErr w:type="spellStart"/>
      <w:r>
        <w:t>Gangsta</w:t>
      </w:r>
      <w:proofErr w:type="spellEnd"/>
      <w:r>
        <w:t xml:space="preserve"> Disciples, and Latin Kings gangs. The rise in </w:t>
      </w:r>
      <w:proofErr w:type="gramStart"/>
      <w:r>
        <w:t>opiates</w:t>
      </w:r>
      <w:proofErr w:type="gramEnd"/>
      <w:r>
        <w:t xml:space="preserve"> has also fueled gang activity. In response, Haverhill Police implemented a federal Byrne JAG Grant, a very successful $314K Shannon Grant effort with community partners and CDBG subrecipients, as well as other Public Safety grants. These anti-gang resources leverage PY24 CDBG funding for CDBG-funded activities, such as: YMCA Teen Programming (IDIS #1430) and the Boys and Girls Club Pathways to Academic Success progr</w:t>
      </w:r>
      <w:r>
        <w:t xml:space="preserve">am (IDIS #1476) and Somebody Cares Youth Center on the Hill (IDIS #1486). </w:t>
      </w:r>
      <w:proofErr w:type="gramStart"/>
      <w:r>
        <w:t>All of</w:t>
      </w:r>
      <w:proofErr w:type="gramEnd"/>
      <w:r>
        <w:t xml:space="preserve"> these activities attempted to curb gang activity and provide appropriate mentoring and recreational outlets for youth, especially in the Mt. Washington and Acre neighborhoods. In addition, the Community Development Department participates in the </w:t>
      </w:r>
      <w:proofErr w:type="gramStart"/>
      <w:r>
        <w:t>newly-organized</w:t>
      </w:r>
      <w:proofErr w:type="gramEnd"/>
      <w:r>
        <w:t xml:space="preserve"> Haverhill Police Collaborative, which gets various youth-serving non-profits and community groups together with the Police Department to discuss community policing and r</w:t>
      </w:r>
      <w:r>
        <w:t xml:space="preserve">elationships.  This group is organized by the YWCA and meets bimonthly at the Police </w:t>
      </w:r>
      <w:proofErr w:type="spellStart"/>
      <w:r>
        <w:t>Station.Sidewalks</w:t>
      </w:r>
      <w:proofErr w:type="spellEnd"/>
      <w:r>
        <w:t xml:space="preserve"> in Disrepair- Attacking a massive backlog, the City has spent aggressively on roadwork and sidewalk repair </w:t>
      </w:r>
      <w:proofErr w:type="gramStart"/>
      <w:r>
        <w:t>in particular over</w:t>
      </w:r>
      <w:proofErr w:type="gramEnd"/>
      <w:r>
        <w:t xml:space="preserve"> the past few years.  Many of these prioritized sidewalks are well-travelled in the CDBG Target Area near schools or parks. This amount is on top of State highway (Chapter 90) funds. Sidewalks </w:t>
      </w:r>
      <w:r>
        <w:lastRenderedPageBreak/>
        <w:t>are a major focus of the City's American Rescue Plan (ARP) funds. Sidewalk work addresses c</w:t>
      </w:r>
      <w:r>
        <w:t>itizen feedback while adding safety and access for many with disabilities. Street trees are also being added with other grants.  As a result of these funding sources, CDBG was not needed to be used for sidewalks in PY24, other than around Union Park (IDIS #1310).</w:t>
      </w:r>
    </w:p>
    <w:p w14:paraId="413895E0" w14:textId="77777777" w:rsidR="00E2285C" w:rsidRDefault="00730313">
      <w:r>
        <w:rPr>
          <w:rFonts w:cs="Arial"/>
          <w:b/>
        </w:rPr>
        <w:t>Meeting Underserved Needs IV</w:t>
      </w:r>
    </w:p>
    <w:p w14:paraId="32DA8027" w14:textId="77777777" w:rsidR="00E2285C" w:rsidRDefault="00730313">
      <w:pPr>
        <w:widowControl w:val="0"/>
        <w:spacing w:beforeAutospacing="1" w:afterAutospacing="1"/>
        <w:rPr>
          <w:rFonts w:cs="Arial"/>
        </w:rPr>
      </w:pPr>
      <w:r>
        <w:t xml:space="preserve">Adequate rental housing- The City promotes the development of more rental housing </w:t>
      </w:r>
      <w:proofErr w:type="gramStart"/>
      <w:r>
        <w:t>in order to</w:t>
      </w:r>
      <w:proofErr w:type="gramEnd"/>
      <w:r>
        <w:t xml:space="preserve"> lower prices through increased supply.  In addition, CDBG Code Enforcement (IDIS #1464) is augmenting the City's other efforts to ensure safe, decent living conditions for renters in the community.  Too many renters reside in inadequate living conditions, and the City is working with realtors, non-profits (such as </w:t>
      </w:r>
      <w:proofErr w:type="spellStart"/>
      <w:r>
        <w:t>AgeSpan</w:t>
      </w:r>
      <w:proofErr w:type="spellEnd"/>
      <w:r>
        <w:t xml:space="preserve"> in the case of elderly), the Courts and landlords themselves to compel changes to these conditions. Wage growth- The City and </w:t>
      </w:r>
      <w:proofErr w:type="spellStart"/>
      <w:r>
        <w:t>MassHire</w:t>
      </w:r>
      <w:proofErr w:type="spellEnd"/>
      <w:r>
        <w:t xml:space="preserve"> Merrimack Valley Workforce Board are work</w:t>
      </w:r>
      <w:r>
        <w:t xml:space="preserve">ing to increase connections to better paying advanced manufacturing, biotech, environmental, clean energy and high-tech jobs and other opportunities available in the region.  In PY24, CDBG </w:t>
      </w:r>
      <w:proofErr w:type="gramStart"/>
      <w:r>
        <w:t>funded</w:t>
      </w:r>
      <w:proofErr w:type="gramEnd"/>
      <w:r>
        <w:t xml:space="preserve"> half of an Economic Development Specialist (IDIS #1465) who met with employers to understand their employment and real estate needs, challenges and capacity.  This enhanced employer outreach is paying dividends, especially in terms of directly communicating to businesses through 'News You Can Use' emails and other </w:t>
      </w:r>
      <w:r>
        <w:t>updates and referrals.  This list includes restaurants, health care and manufacturing entities. UMass-Lowell's abrupt departure from its Haverhill Innovation Hub (I-Hub) at Harbor Place dealt economic development efforts a blow last year. However, a Northern Essex Community College Culinary Arts Training Center at the Heights complex Downtown has been successful. MakeIT Haverhill (IDIS #1444), through its successful job training activities, programs and employer fairs, is connecting Mount Washington residen</w:t>
      </w:r>
      <w:r>
        <w:t xml:space="preserve">ts with jobs, skills and wage growth.  In fact, data reveals that wages increased in the city again over the past year; unfortunately, much of these gains were lost with inflationary cost increases led by housing cost spikes. Substance Abuse Treatment- Despite the presence of methadone and other rehab facilities, there remains a shortage to meet demand. Facilities such as Horizons at the State Line Plaza and Serenity near Holy Family Hospital have added needed capacity to address these issues. To establish </w:t>
      </w:r>
      <w:r>
        <w:t xml:space="preserve">better connections between these facilities and the Hospital and local non-profits, the City hosted its annual Recovery Fair information and referral session last year and participated in other such events.  Much outreach is being made to agencies and non-profits in this </w:t>
      </w:r>
      <w:proofErr w:type="gramStart"/>
      <w:r>
        <w:t>arena</w:t>
      </w:r>
      <w:proofErr w:type="gramEnd"/>
      <w:r>
        <w:t xml:space="preserve">, given the connection between addiction and poverty. In PY24, CDBG funded </w:t>
      </w:r>
      <w:proofErr w:type="gramStart"/>
      <w:r>
        <w:t>some $</w:t>
      </w:r>
      <w:proofErr w:type="gramEnd"/>
      <w:r>
        <w:t>4,417.79 worth of activities at The Surrender Room's Substance Abuse Recovery Program to help low-income addicts with rehab and recovery. Philanthropic Ca</w:t>
      </w:r>
      <w:r>
        <w:t xml:space="preserve">pacity- Haverhill is home to fewer foundations, private funding organizations and trusts than other regional communities. The City is applying to and engaging more outside private foundations (i.e. Cummings, Essex County Community, and Casey Foundations) </w:t>
      </w:r>
      <w:proofErr w:type="gramStart"/>
      <w:r>
        <w:t>in an effort to</w:t>
      </w:r>
      <w:proofErr w:type="gramEnd"/>
      <w:r>
        <w:t xml:space="preserve"> lure additional private resources to address needs. The new Cogswell Club has been a great help to local organizations. </w:t>
      </w:r>
      <w:proofErr w:type="spellStart"/>
      <w:r>
        <w:t>L'Arche</w:t>
      </w:r>
      <w:proofErr w:type="spellEnd"/>
      <w:r>
        <w:t xml:space="preserve"> Boston North, serving and housing individuals with disabilities, was awarded funds from the Cummings Foundation (</w:t>
      </w:r>
      <w:r>
        <w:t>for example).  Such awards reduce stress upon public resources in the age of DOGE and federal funding uncertainty.</w:t>
      </w:r>
    </w:p>
    <w:p w14:paraId="0373207A" w14:textId="77777777" w:rsidR="00E2285C" w:rsidRDefault="00730313">
      <w:r>
        <w:rPr>
          <w:rFonts w:cs="Arial"/>
          <w:b/>
        </w:rPr>
        <w:t>Meeting Underserved Needs V</w:t>
      </w:r>
    </w:p>
    <w:p w14:paraId="72B1A6A8" w14:textId="77777777" w:rsidR="00E2285C" w:rsidRDefault="00730313">
      <w:pPr>
        <w:widowControl w:val="0"/>
        <w:spacing w:beforeAutospacing="1" w:afterAutospacing="1"/>
        <w:rPr>
          <w:rFonts w:cs="Arial"/>
        </w:rPr>
      </w:pPr>
      <w:r>
        <w:lastRenderedPageBreak/>
        <w:t xml:space="preserve">Diversifying Job Training Options- There is a need to increase training capacity in fields outside of health care, where the capacity and facilities are excellent. However, training is still limited for blue-collar fields and manufacturing in this region.  The City has worked over the last few years with Northern Essex Community College (NECC) and Whittier Regional Vocational Technical School to add to this capacity by supporting efforts to create advanced culinary arts and manufacturing training centers.  </w:t>
      </w:r>
      <w:r>
        <w:t xml:space="preserve">The Career Technical Initiative (CTI), where Haverhill High School graduates and adults can take summer and night courses in technical fields, has yielded tremendous success in terms of entered employment and starting wage rates.  Trade unions are also offering more training options in the region. The City partnered with many providers within the Haverhill Early Learning Team (ELT) seeking to standardize childcare and to improve quality and outcomes in early childhood education. Now the City seeks funds to </w:t>
      </w:r>
      <w:r>
        <w:t>increase job training to create more certified early educators.  This ELT partnership was tapped to administer CDBG-funded childcare support to get parents back to work.  MakeIT Haverhill (IDIS #1444) also provided on-site training and refers individuals to NECC and other training providers. Promoting English as a Second Language Resources- ESOL has capacity needs, despite the work of NECC and Community Action.  Many residents struggle to undertake ESOL around work and family schedules due to availability o</w:t>
      </w:r>
      <w:r>
        <w:t xml:space="preserve">f classes or training. The City is bringing back classes at the Haverhill Public Library and the schools. </w:t>
      </w:r>
      <w:proofErr w:type="spellStart"/>
      <w:r>
        <w:t>MakeIt</w:t>
      </w:r>
      <w:proofErr w:type="spellEnd"/>
      <w:r>
        <w:t xml:space="preserve"> Haverhill is helping to fill the ESOL void, supported by CDBG (IDIS #1444).  Employers are encouraged to use the State's Workforce Training Fund grants and other public and private resources to provide ESOL to their workers. Speaking English equates to higher wages, and residents know it.  The backlog for these classes has grown post-pandemic. Outreach and Communicating with Residents- </w:t>
      </w:r>
      <w:proofErr w:type="gramStart"/>
      <w:r>
        <w:t>In this da</w:t>
      </w:r>
      <w:r>
        <w:t>y and age</w:t>
      </w:r>
      <w:proofErr w:type="gramEnd"/>
      <w:r>
        <w:t xml:space="preserve">, communicating with residents is challenging given the array of multimedia choices that residents </w:t>
      </w:r>
      <w:proofErr w:type="gramStart"/>
      <w:r>
        <w:t>have to</w:t>
      </w:r>
      <w:proofErr w:type="gramEnd"/>
      <w:r>
        <w:t xml:space="preserve"> receive information, as well as the symptoms of misinformation and information overload. There is no one single effective source of information or communication vehicle anymore. This problem is exacerbated in Target Areas such as Mount Washington or the Acre where many primarily speak Spanish or other languages. The City's 3-1-1 consolidated and bilingual constituent response system is proving</w:t>
      </w:r>
      <w:r>
        <w:t xml:space="preserve"> useful and effective.  The City is trying to use more web-based, bilingual, automatic (robocalls through Everbridge </w:t>
      </w:r>
      <w:proofErr w:type="spellStart"/>
      <w:r>
        <w:t>Nixel</w:t>
      </w:r>
      <w:proofErr w:type="spellEnd"/>
      <w:r>
        <w:t xml:space="preserve">), online and social media-driven messaging to engage and enlighten citizen participation and public information. The CDD is reviewing its CDBG Citizen Participation Plan for effectiveness and </w:t>
      </w:r>
      <w:proofErr w:type="gramStart"/>
      <w:r>
        <w:t>relevance, and</w:t>
      </w:r>
      <w:proofErr w:type="gramEnd"/>
      <w:r>
        <w:t xml:space="preserve"> has bilingual staff and part-time translation support. A new challenge is that many area migrants speak not Spanish but Haitian Creole and Portuguese, which has much less capacity.</w:t>
      </w:r>
    </w:p>
    <w:p w14:paraId="24538008" w14:textId="77777777" w:rsidR="00E2285C" w:rsidRDefault="00730313">
      <w:r>
        <w:rPr>
          <w:rFonts w:cs="Arial"/>
          <w:b/>
        </w:rPr>
        <w:t>Meeting Underserved Needs VI</w:t>
      </w:r>
    </w:p>
    <w:p w14:paraId="32637645" w14:textId="77777777" w:rsidR="00E2285C" w:rsidRDefault="00730313">
      <w:pPr>
        <w:widowControl w:val="0"/>
        <w:spacing w:beforeAutospacing="1" w:afterAutospacing="1"/>
        <w:rPr>
          <w:rFonts w:cs="Arial"/>
        </w:rPr>
      </w:pPr>
      <w:r>
        <w:t xml:space="preserve">Rising Rents- The cost effects of supply and demand are on full display with the rental market in the region. The City seeks to develop multi-family rentals through HOME funds and use of Riverfront Overlay Zoning and other tools such as Housing Development Incentive Program (HDIP).  The City is aggressive in promoting affordable housing lotteries and helping developers obtain Low-Income Housing Tax Credits, regional HOME funds, state and federal historic rehabilitation tax credits and other incentives, </w:t>
      </w:r>
      <w:proofErr w:type="gramStart"/>
      <w:r>
        <w:t>in order to</w:t>
      </w:r>
      <w:proofErr w:type="gramEnd"/>
      <w:r>
        <w:t xml:space="preserve"> more expeditiously create additional housing units. The City is emphasizing the dynamic of rising rents as a key tenet of the newly completed Housing Production Plan as it did with the Master Plan. Rental Assistance from the City requires at least 90-day extensions/ prohibitions from starting eviction </w:t>
      </w:r>
      <w:r>
        <w:lastRenderedPageBreak/>
        <w:t>procedures against applicants. A new Housing Trust fund created in the last year will receive funds from developer buyouts under new Inclusionary Zoning ordinances, which will also help produce mor</w:t>
      </w:r>
      <w:r>
        <w:t xml:space="preserve">e affordable units, such as at 38 Washington Street downtown. Available Public Housing Units and Vouchers- The Haverhill Housing Authority (HHA) wait lists for many of their units can be counted in terms of years or half-decades.  Hundreds of households languish years on these lists awaiting public housing.  Additional public housing units would obviously </w:t>
      </w:r>
      <w:proofErr w:type="gramStart"/>
      <w:r>
        <w:t>fill up</w:t>
      </w:r>
      <w:proofErr w:type="gramEnd"/>
      <w:r>
        <w:t xml:space="preserve"> immediately.  The HHA is quite busy with aggressive modernization and capital plans. Meanwhile, the City has assisted HHA with funds for a reposit</w:t>
      </w:r>
      <w:r>
        <w:t xml:space="preserve">ioning project that would add new family units onto HHA's Hilldale Avenue complex along with a revamped Head Start center for Community Action.  Local share of HOME funds </w:t>
      </w:r>
      <w:proofErr w:type="gramStart"/>
      <w:r>
        <w:t>have</w:t>
      </w:r>
      <w:proofErr w:type="gramEnd"/>
      <w:r>
        <w:t xml:space="preserve"> been committed in the last year for this project. Developing More Industrial Space</w:t>
      </w:r>
      <w:proofErr w:type="gramStart"/>
      <w:r>
        <w:t>-  The</w:t>
      </w:r>
      <w:proofErr w:type="gramEnd"/>
      <w:r>
        <w:t xml:space="preserve"> City offers employers expedited and online permitting, competitive land, water and sewer costs, micro-enterprise support, and favorable rezoning along the riverfront and highway. City Economic Development staff </w:t>
      </w:r>
      <w:proofErr w:type="gramStart"/>
      <w:r>
        <w:t>is</w:t>
      </w:r>
      <w:proofErr w:type="gramEnd"/>
      <w:r>
        <w:t xml:space="preserve"> exploring supply chains leveragin</w:t>
      </w:r>
      <w:r>
        <w:t>g networks related to existing employers.  The City is involved with the Merrimack Valley Planning Commission (MVPC) in a regional effort to promote sites through data and branding, including the Merrimack Valley Means Business web portals and promotional materials, highlighting the City's advantages to employers. However, a glaring lack of available industrial space is a significant concern, as the city's main industrial areas are essentially fully occupied or being built out.  There exists a need to creat</w:t>
      </w:r>
      <w:r>
        <w:t>e capacity for additional job growth.  The new Master Plan allows for densification of business parks, reduced industrial parking requirements, and cluster mixed-use development in various zones, among other reforms and innovations. The City analyzed land along Interstate 495, the site of a small old private airfield between Routes 108 and 110 by I-495 Exit #111 near Northern Essex Community College.  Consultant AECOM analyzed environmental, wetlands, topography, and endangered species (Blandings Turtles) a</w:t>
      </w:r>
      <w:r>
        <w:t xml:space="preserve">s well as site feasibility, layout and conditions. Unfortunately, the preponderance of endangered turtles in this habitat precludes the City from developing even the uplands land at this site. Amazon </w:t>
      </w:r>
      <w:proofErr w:type="gramStart"/>
      <w:r>
        <w:t>located  a</w:t>
      </w:r>
      <w:proofErr w:type="gramEnd"/>
      <w:r>
        <w:t xml:space="preserve"> major distribution hub at the former Western Electric plant just across the town line in North Andover, in addition to a last-mile distribution center in Haverhill, that will provide new $15 per hour minimum jobs to hundreds of </w:t>
      </w:r>
      <w:proofErr w:type="gramStart"/>
      <w:r>
        <w:t>local residents</w:t>
      </w:r>
      <w:proofErr w:type="gramEnd"/>
      <w:r>
        <w:t>.  This will also have a tremendous impact on Haverhill.</w:t>
      </w:r>
    </w:p>
    <w:p w14:paraId="2CBCF3DC" w14:textId="77777777" w:rsidR="00E2285C" w:rsidRDefault="00730313">
      <w:r>
        <w:rPr>
          <w:rFonts w:cs="Arial"/>
          <w:b/>
        </w:rPr>
        <w:t>CDBG-CV addressing Underserved Needs</w:t>
      </w:r>
    </w:p>
    <w:p w14:paraId="67E3FAA3" w14:textId="77777777" w:rsidR="00E2285C" w:rsidRDefault="00730313">
      <w:pPr>
        <w:widowControl w:val="0"/>
        <w:spacing w:beforeAutospacing="1" w:afterAutospacing="1"/>
        <w:rPr>
          <w:rFonts w:cs="Arial"/>
        </w:rPr>
      </w:pPr>
      <w:r>
        <w:t xml:space="preserve">CDBG-CV and other CARES Act funds were quickly and effectively deployed to address the multitude of underserved needs that erupted during the COVID-19 Pandemic and its after-effects, especially in terms of food insecurity efforts, as well as emergency rental/mortgage/utility assistance. Many new clients who </w:t>
      </w:r>
      <w:proofErr w:type="gramStart"/>
      <w:r>
        <w:t>never before</w:t>
      </w:r>
      <w:proofErr w:type="gramEnd"/>
      <w:r>
        <w:t xml:space="preserve"> needed such public assistance took advantage of these operations.    In PY24, the final $752.51 in CDBG-CV3 funds were disbursed, with $455.74 used to provide emergency rental/utility needs for one additional household (IDIS #1270) and the rest to close out administrative actions (IDIS #1243). These Activities drained the last of the CDBG-CV funds, with over $1.2m successfully expended.</w:t>
      </w:r>
    </w:p>
    <w:p w14:paraId="30133681" w14:textId="77777777" w:rsidR="00E2285C" w:rsidRDefault="00730313">
      <w:r>
        <w:rPr>
          <w:rFonts w:cs="Arial"/>
          <w:b/>
        </w:rPr>
        <w:t>American Rescue Plan and CDBG</w:t>
      </w:r>
    </w:p>
    <w:p w14:paraId="6C1EACEE" w14:textId="77777777" w:rsidR="00E2285C" w:rsidRDefault="00730313">
      <w:pPr>
        <w:widowControl w:val="0"/>
        <w:spacing w:beforeAutospacing="1" w:afterAutospacing="1"/>
        <w:rPr>
          <w:rFonts w:cs="Arial"/>
        </w:rPr>
      </w:pPr>
      <w:r>
        <w:t xml:space="preserve">Of all the leveraging opportunities, no other source is being utilized to meet City </w:t>
      </w:r>
      <w:proofErr w:type="spellStart"/>
      <w:r>
        <w:t>ConPlan</w:t>
      </w:r>
      <w:proofErr w:type="spellEnd"/>
      <w:r>
        <w:t xml:space="preserve"> goals and </w:t>
      </w:r>
      <w:r>
        <w:lastRenderedPageBreak/>
        <w:t xml:space="preserve">underserved needs more than the American Rescue Plan (ARP).  The City is </w:t>
      </w:r>
      <w:proofErr w:type="gramStart"/>
      <w:r>
        <w:t>expending</w:t>
      </w:r>
      <w:proofErr w:type="gramEnd"/>
      <w:r>
        <w:t xml:space="preserve"> $38 million before the end of 2026, and a great deal of the past program year was dedicated to developing and/or spending ARPA funds on various projects.  Many of these ARPA projects meet </w:t>
      </w:r>
      <w:proofErr w:type="spellStart"/>
      <w:r>
        <w:t>ConPlan</w:t>
      </w:r>
      <w:proofErr w:type="spellEnd"/>
      <w:r>
        <w:t xml:space="preserve"> goals, particularly </w:t>
      </w:r>
      <w:proofErr w:type="gramStart"/>
      <w:r>
        <w:t>in regards to</w:t>
      </w:r>
      <w:proofErr w:type="gramEnd"/>
      <w:r>
        <w:t xml:space="preserve"> replacing aging infrastructure-- sidewalks, water lines, sewers, culverts, beautification, parks (i.e. Riverside Connector Trail and Edible Avenue), especially in Haverhill's Qualif</w:t>
      </w:r>
      <w:r>
        <w:t xml:space="preserve">ied Census Tracts. QCTs are different from but feature similar </w:t>
      </w:r>
      <w:proofErr w:type="gramStart"/>
      <w:r>
        <w:t>overlap</w:t>
      </w:r>
      <w:proofErr w:type="gramEnd"/>
      <w:r>
        <w:t xml:space="preserve"> to the CDBG Target Area. ARPA is funding the services of Northeast Legal Aid, providing free pro bono legal assistance to low-income residents with civil legal matters.  The primary thrust of these legal representation efforts is to fight tenant evictions in court. With ARP funds, Northeast Legal Aid opened a satellite office at the Haverhill Citizens Center on Welcome Street 3 mornings a week. ARPA also largely funded the Youth and Ment</w:t>
      </w:r>
      <w:r>
        <w:t>al Health and Fresh Food Fund grants, which support efforts by many CDBG subrecipients to provide opportunities for low-income residents, including the YMCA, YWCA, Emmaus, CAI, the Boys and Girls Club, Somebody Cares and Urban Bridges, to name a few.  ARP supports public health efforts such as vaccinations, personal protective equipment (PPE), and clinicians previously funded through CDBG-CV and the CARES Act.  ARP-funded Fresh Food fund grants augmented nearly all CDBG-funded food pantries and meals progra</w:t>
      </w:r>
      <w:r>
        <w:t>ms to great benefit. Other examples of CDBG leveraging ARPA funds include:-Community Action Workforce Development programs for childcare and health care at MakeIT Haverhill and elsewhere;-Design/Engineering for resurfacing of Washington Square plaza;-enhancements at Union Park, building off CDBG investments (IDIS #1310);-Sidewalks on Broadway and Concord Road-Full Renovation of 12th Avenue (Harry MacNamara) Park in the Acre neighborhood;-Assistance to Vets at Veterans Northeast Outreach Center;-</w:t>
      </w:r>
      <w:proofErr w:type="spellStart"/>
      <w:r>
        <w:t>Winnekenni</w:t>
      </w:r>
      <w:proofErr w:type="spellEnd"/>
      <w:r>
        <w:t>-P</w:t>
      </w:r>
      <w:r>
        <w:t xml:space="preserve">lug Pond Connector Trail grant match;-Rosemont Street bridge replacement over Little River, helping businesses in Newark Street and Upper Hilldale Industrial </w:t>
      </w:r>
      <w:proofErr w:type="spellStart"/>
      <w:r>
        <w:t>parks.ARPA</w:t>
      </w:r>
      <w:proofErr w:type="spellEnd"/>
      <w:r>
        <w:t xml:space="preserve"> provides massive leveraging opportunities with CDBG, as coordination is constant between the two grant programs.  The CDD works with consultant Accenture to ensure compliance with stringent ARPA regulations.</w:t>
      </w:r>
    </w:p>
    <w:p w14:paraId="6FDD1DE5" w14:textId="77777777" w:rsidR="00FE3457" w:rsidRDefault="005268B9">
      <w:pPr>
        <w:widowControl w:val="0"/>
        <w:rPr>
          <w:b/>
          <w:sz w:val="24"/>
          <w:szCs w:val="24"/>
        </w:rPr>
      </w:pPr>
      <w:r>
        <w:rPr>
          <w:b/>
          <w:sz w:val="24"/>
          <w:szCs w:val="24"/>
        </w:rPr>
        <w:t>Actions taken to reduce lead-based paint hazards. 91.220(k); 91.320(j)</w:t>
      </w:r>
    </w:p>
    <w:p w14:paraId="10D0C8B7" w14:textId="77777777" w:rsidR="00E2285C" w:rsidRDefault="00E2285C">
      <w:pPr>
        <w:spacing w:beforeAutospacing="1" w:afterAutospacing="1"/>
      </w:pPr>
    </w:p>
    <w:p w14:paraId="34B0C4F6" w14:textId="77777777" w:rsidR="00E2285C" w:rsidRDefault="00730313">
      <w:proofErr w:type="gramStart"/>
      <w:r>
        <w:rPr>
          <w:rFonts w:cs="Arial"/>
          <w:b/>
        </w:rPr>
        <w:t>Get</w:t>
      </w:r>
      <w:proofErr w:type="gramEnd"/>
      <w:r>
        <w:rPr>
          <w:rFonts w:cs="Arial"/>
          <w:b/>
        </w:rPr>
        <w:t xml:space="preserve"> the Lead Out activity</w:t>
      </w:r>
    </w:p>
    <w:p w14:paraId="7C80D8D8" w14:textId="77777777" w:rsidR="00E2285C" w:rsidRDefault="00730313">
      <w:pPr>
        <w:widowControl w:val="0"/>
        <w:spacing w:beforeAutospacing="1" w:afterAutospacing="1"/>
        <w:rPr>
          <w:rFonts w:cs="Arial"/>
        </w:rPr>
      </w:pPr>
      <w:r>
        <w:t xml:space="preserve">As a regional agent for </w:t>
      </w:r>
      <w:proofErr w:type="spellStart"/>
      <w:r>
        <w:t>MassHousing's</w:t>
      </w:r>
      <w:proofErr w:type="spellEnd"/>
      <w:r>
        <w:t xml:space="preserve"> State-funded 'Get the Lead Out' program, the City undertakes projects exclusive of CDBG investments cited above. New applications during Program Year 2024 included:1 Moody Street, Amesbury, MA- The total cost of de-leading for this property was $40,000.52 North Street- </w:t>
      </w:r>
      <w:proofErr w:type="spellStart"/>
      <w:r>
        <w:t>Deleading</w:t>
      </w:r>
      <w:proofErr w:type="spellEnd"/>
      <w:r>
        <w:t xml:space="preserve"> work was completed using $21,500 in State funds at the Acre neighborhood dwelling.80-82 Broadway- This project utilized $26,500 in State funds at this multi-family dwelling.14 Forest Avenue- The total cost of this work</w:t>
      </w:r>
      <w:r>
        <w:t xml:space="preserve"> was $28,500 for this Highlands area home.20 South Williams Street- The cost for this lead abatement project in Bradford was $28,900.Overall, a total of $145,400 in State 'Get the Lead Out' funds were administered by the City's Community Development Department from July 1, 2024- December 31, 2025.</w:t>
      </w:r>
    </w:p>
    <w:p w14:paraId="760BE19C" w14:textId="77777777" w:rsidR="00E2285C" w:rsidRDefault="00730313">
      <w:r>
        <w:rPr>
          <w:rFonts w:cs="Arial"/>
          <w:b/>
        </w:rPr>
        <w:lastRenderedPageBreak/>
        <w:t>Lead Hazard Capacity Building efforts</w:t>
      </w:r>
    </w:p>
    <w:p w14:paraId="40DB035A" w14:textId="77777777" w:rsidR="00E2285C" w:rsidRDefault="00730313">
      <w:pPr>
        <w:widowControl w:val="0"/>
        <w:spacing w:beforeAutospacing="1" w:afterAutospacing="1"/>
        <w:rPr>
          <w:rFonts w:cs="Arial"/>
        </w:rPr>
      </w:pPr>
      <w:r>
        <w:t xml:space="preserve">In August 2024, the City applied for and was proudly awarded a long-sought HUD Lead Hazards Reduction Capacity Building grant, totaling over $2.4 million over 3 years. Through this grant, the CDD will create a program </w:t>
      </w:r>
      <w:proofErr w:type="gramStart"/>
      <w:r>
        <w:t>similar to</w:t>
      </w:r>
      <w:proofErr w:type="gramEnd"/>
      <w:r>
        <w:t xml:space="preserve"> other cities in Merrimack Valley and implement a series of targeted initiatives aimed at increasing the City's ability to address lead hazards.  The Lead Hazards Reduction Capacity Building Program will be made available to both homeowners and landlords of 1-to-</w:t>
      </w:r>
      <w:proofErr w:type="gramStart"/>
      <w:r>
        <w:t>4 unit</w:t>
      </w:r>
      <w:proofErr w:type="gramEnd"/>
      <w:r>
        <w:t xml:space="preserve"> dwellings built before 1978, where a child under 6 spends significant time. As part of this effort, </w:t>
      </w:r>
      <w:proofErr w:type="gramStart"/>
      <w:r>
        <w:t>the CDD</w:t>
      </w:r>
      <w:proofErr w:type="gramEnd"/>
      <w:r>
        <w:t xml:space="preserve"> has subcontracted with certified training agencies to develop a skilled workforce of </w:t>
      </w:r>
      <w:proofErr w:type="spellStart"/>
      <w:r>
        <w:t>deleading</w:t>
      </w:r>
      <w:proofErr w:type="spellEnd"/>
      <w:r>
        <w:t xml:space="preserve"> contractors and workers.  In </w:t>
      </w:r>
      <w:r>
        <w:t>collaboration with local organizations such as the YMCA and Community Action, both of whom support low-income populations, the CDD will implement an internal referral system to identify and connect eligible individuals with the LHRCB Program. Additionally, the CDD will partner with local schools and early education programs to provide lead safety education for staff and families. Collectively, these initiatives aim to build sustainable capacity, foster community engagement, and significantly reduce the risk</w:t>
      </w:r>
      <w:r>
        <w:t xml:space="preserve"> of lead poisoning in Haverhill.</w:t>
      </w:r>
    </w:p>
    <w:p w14:paraId="2D1C59E8" w14:textId="77777777" w:rsidR="00FE3457" w:rsidRDefault="005268B9">
      <w:pPr>
        <w:widowControl w:val="0"/>
        <w:rPr>
          <w:b/>
          <w:sz w:val="24"/>
          <w:szCs w:val="24"/>
        </w:rPr>
      </w:pPr>
      <w:r>
        <w:rPr>
          <w:b/>
          <w:sz w:val="24"/>
          <w:szCs w:val="24"/>
        </w:rPr>
        <w:t>Actions taken to reduce the number of poverty-level families. 91.220(k); 91.320(j)</w:t>
      </w:r>
    </w:p>
    <w:p w14:paraId="33B1D453" w14:textId="77777777" w:rsidR="00E2285C" w:rsidRDefault="00730313">
      <w:pPr>
        <w:widowControl w:val="0"/>
        <w:spacing w:beforeAutospacing="1" w:afterAutospacing="1"/>
        <w:rPr>
          <w:rFonts w:cs="Arial"/>
        </w:rPr>
      </w:pPr>
      <w:r>
        <w:rPr>
          <w:rFonts w:cs="Arial"/>
        </w:rPr>
        <w:t>Reducing the number of families living in poverty constitutes a critical goal for the City, Community Action (CAI) and various partnering agencies and subrecipients. The COVID-19 Pandemic's economic aftereffects (i.e. product shortages and inflation) increased the number of poverty-level families, so these poverty reduction efforts were very much needed.</w:t>
      </w:r>
    </w:p>
    <w:p w14:paraId="482B5316" w14:textId="77777777" w:rsidR="00E2285C" w:rsidRDefault="00730313">
      <w:pPr>
        <w:widowControl w:val="0"/>
        <w:spacing w:beforeAutospacing="1" w:afterAutospacing="1"/>
        <w:rPr>
          <w:rFonts w:cs="Arial"/>
        </w:rPr>
      </w:pPr>
      <w:r>
        <w:rPr>
          <w:rFonts w:cs="Arial"/>
        </w:rPr>
        <w:t>The City, through its Community Affairs Advisory Board (CAAB), prioritizes much of its CDBG Public Services funds towards reducing the number of poverty-level families.  Actions in Program Year 2024 included:</w:t>
      </w:r>
    </w:p>
    <w:p w14:paraId="411F5227" w14:textId="77777777" w:rsidR="00E2285C" w:rsidRDefault="00730313">
      <w:pPr>
        <w:widowControl w:val="0"/>
        <w:spacing w:beforeAutospacing="1" w:afterAutospacing="1"/>
        <w:rPr>
          <w:rFonts w:cs="Arial"/>
        </w:rPr>
      </w:pPr>
      <w:r>
        <w:rPr>
          <w:rFonts w:cs="Arial"/>
        </w:rPr>
        <w:t>-Salvation Army Meals Program (IDIS #1481), where staff refer and/or provide poverty-level families with an array of services, financial support, guidance and assistance, in addition to cooked meals ($13,000 in PY24 served 1,500 individuals</w:t>
      </w:r>
      <w:proofErr w:type="gramStart"/>
      <w:r>
        <w:rPr>
          <w:rFonts w:cs="Arial"/>
        </w:rPr>
        <w:t>);</w:t>
      </w:r>
      <w:proofErr w:type="gramEnd"/>
    </w:p>
    <w:p w14:paraId="699F6FDE" w14:textId="77777777" w:rsidR="00E2285C" w:rsidRDefault="00730313">
      <w:pPr>
        <w:widowControl w:val="0"/>
        <w:spacing w:beforeAutospacing="1" w:afterAutospacing="1"/>
        <w:rPr>
          <w:rFonts w:cs="Arial"/>
        </w:rPr>
      </w:pPr>
      <w:r>
        <w:rPr>
          <w:rFonts w:cs="Arial"/>
          <w:i/>
        </w:rPr>
        <w:t>-</w:t>
      </w:r>
      <w:r>
        <w:rPr>
          <w:rFonts w:cs="Arial"/>
        </w:rPr>
        <w:t xml:space="preserve">Community Action's Heating Assistance program (IDIS #1474) assists families who otherwise </w:t>
      </w:r>
      <w:proofErr w:type="gramStart"/>
      <w:r>
        <w:rPr>
          <w:rFonts w:cs="Arial"/>
        </w:rPr>
        <w:t>have to</w:t>
      </w:r>
      <w:proofErr w:type="gramEnd"/>
      <w:r>
        <w:rPr>
          <w:rFonts w:cs="Arial"/>
        </w:rPr>
        <w:t xml:space="preserve"> choose between heat versus food, rent and/or health care ($6,000 in PY24 funds served 20 households</w:t>
      </w:r>
      <w:proofErr w:type="gramStart"/>
      <w:r>
        <w:rPr>
          <w:rFonts w:cs="Arial"/>
        </w:rPr>
        <w:t>);</w:t>
      </w:r>
      <w:proofErr w:type="gramEnd"/>
    </w:p>
    <w:p w14:paraId="24937F5A" w14:textId="77777777" w:rsidR="00E2285C" w:rsidRDefault="00730313">
      <w:pPr>
        <w:widowControl w:val="0"/>
        <w:spacing w:beforeAutospacing="1" w:afterAutospacing="1"/>
        <w:rPr>
          <w:rFonts w:cs="Arial"/>
        </w:rPr>
      </w:pPr>
      <w:r>
        <w:rPr>
          <w:rFonts w:cs="Arial"/>
        </w:rPr>
        <w:t xml:space="preserve">-Somebody Cares New England Youth Center on the Hill and Food Bank (IDIS #1486+ 1485), which assists families with a monthly food pantry ($4,995 serving 393 clients), services and referrals, beyond its youth enrichment program ($6,000 serving 250 youth), totaling $10,995 in combined PY24 CDBG funds serving 643 families in </w:t>
      </w:r>
      <w:proofErr w:type="gramStart"/>
      <w:r>
        <w:rPr>
          <w:rFonts w:cs="Arial"/>
        </w:rPr>
        <w:t>poverty;</w:t>
      </w:r>
      <w:proofErr w:type="gramEnd"/>
    </w:p>
    <w:p w14:paraId="49896228" w14:textId="77777777" w:rsidR="00E2285C" w:rsidRDefault="00730313">
      <w:pPr>
        <w:widowControl w:val="0"/>
        <w:spacing w:beforeAutospacing="1" w:afterAutospacing="1"/>
        <w:rPr>
          <w:rFonts w:cs="Arial"/>
        </w:rPr>
      </w:pPr>
      <w:r>
        <w:rPr>
          <w:rFonts w:cs="Arial"/>
        </w:rPr>
        <w:t>-Liz Murphy Open Hand Pantry (IDIS #1469), which provides a hand to households who experience food insecurity, especially at the end of the month ($8,000 in PY24 CDBG funds to support 469 households</w:t>
      </w:r>
      <w:proofErr w:type="gramStart"/>
      <w:r>
        <w:rPr>
          <w:rFonts w:cs="Arial"/>
        </w:rPr>
        <w:t>);</w:t>
      </w:r>
      <w:proofErr w:type="gramEnd"/>
    </w:p>
    <w:p w14:paraId="368776CB" w14:textId="77777777" w:rsidR="00E2285C" w:rsidRDefault="00730313">
      <w:pPr>
        <w:widowControl w:val="0"/>
        <w:spacing w:beforeAutospacing="1" w:afterAutospacing="1"/>
        <w:rPr>
          <w:rFonts w:cs="Arial"/>
        </w:rPr>
      </w:pPr>
      <w:r>
        <w:rPr>
          <w:rFonts w:cs="Arial"/>
        </w:rPr>
        <w:lastRenderedPageBreak/>
        <w:t xml:space="preserve">-Saint Vincent </w:t>
      </w:r>
      <w:proofErr w:type="spellStart"/>
      <w:r>
        <w:rPr>
          <w:rFonts w:cs="Arial"/>
        </w:rPr>
        <w:t>dePaul's</w:t>
      </w:r>
      <w:proofErr w:type="spellEnd"/>
      <w:r>
        <w:rPr>
          <w:rFonts w:cs="Arial"/>
        </w:rPr>
        <w:t xml:space="preserve"> Direct Help to People in Need (Rent/Utility + Diaper) Assistance program (IDIS #1472), which provides spot rent and/or utility payments to households at imminent confirmed risk of eviction or shutdown, averting loss of credit due to indebtedness ($11,172 supporting 16 families).</w:t>
      </w:r>
    </w:p>
    <w:p w14:paraId="05E5108F" w14:textId="77777777" w:rsidR="00E2285C" w:rsidRDefault="00730313">
      <w:pPr>
        <w:widowControl w:val="0"/>
        <w:spacing w:beforeAutospacing="1" w:afterAutospacing="1"/>
        <w:rPr>
          <w:rFonts w:cs="Arial"/>
        </w:rPr>
      </w:pPr>
      <w:r>
        <w:rPr>
          <w:rFonts w:cs="Arial"/>
        </w:rPr>
        <w:t xml:space="preserve">-Saint Vincent </w:t>
      </w:r>
      <w:proofErr w:type="spellStart"/>
      <w:r>
        <w:rPr>
          <w:rFonts w:cs="Arial"/>
        </w:rPr>
        <w:t>dePaul</w:t>
      </w:r>
      <w:proofErr w:type="spellEnd"/>
      <w:r>
        <w:rPr>
          <w:rFonts w:cs="Arial"/>
        </w:rPr>
        <w:t xml:space="preserve"> of All Saints also provided rent/utility assistance (IDIS #1471) of $6,684.09 in PY24 CDBG funds to support 15 Mount Washington families. </w:t>
      </w:r>
    </w:p>
    <w:p w14:paraId="3FB8E403" w14:textId="77777777" w:rsidR="00FE3457" w:rsidRDefault="005268B9">
      <w:pPr>
        <w:widowControl w:val="0"/>
        <w:rPr>
          <w:b/>
          <w:sz w:val="24"/>
          <w:szCs w:val="24"/>
        </w:rPr>
      </w:pPr>
      <w:r>
        <w:rPr>
          <w:b/>
          <w:sz w:val="24"/>
          <w:szCs w:val="24"/>
        </w:rPr>
        <w:t>Actions taken to develop institutional structure. 91.220(k); 91.320(j)</w:t>
      </w:r>
    </w:p>
    <w:p w14:paraId="33102B6C" w14:textId="77777777" w:rsidR="00E2285C" w:rsidRDefault="00730313">
      <w:pPr>
        <w:widowControl w:val="0"/>
        <w:spacing w:beforeAutospacing="1" w:afterAutospacing="1"/>
        <w:rPr>
          <w:rFonts w:cs="Arial"/>
        </w:rPr>
      </w:pPr>
      <w:r>
        <w:rPr>
          <w:rFonts w:cs="Arial"/>
        </w:rPr>
        <w:t>The City undertook several activities to develop institutional structure in Program Year 2024 to increase both its own institutional structure internally and to support external non-profits, service providers and sub-recipients in their own institutional development.</w:t>
      </w:r>
    </w:p>
    <w:p w14:paraId="0E5E8A08" w14:textId="77777777" w:rsidR="00E2285C" w:rsidRDefault="00730313">
      <w:pPr>
        <w:widowControl w:val="0"/>
        <w:spacing w:beforeAutospacing="1" w:afterAutospacing="1"/>
        <w:rPr>
          <w:rFonts w:cs="Arial"/>
        </w:rPr>
      </w:pPr>
      <w:r>
        <w:rPr>
          <w:rFonts w:cs="Arial"/>
        </w:rPr>
        <w:t>The City supported a Latino Business Coordinator to work with Haverhill's Spanish-speaking business community, providing various technical assistance.  The City also paid a bilingual City staffer to provide Spanish language translation services as needed for housing rehabilitation applicants. </w:t>
      </w:r>
    </w:p>
    <w:p w14:paraId="5BE2066F" w14:textId="77777777" w:rsidR="00E2285C" w:rsidRDefault="00730313">
      <w:pPr>
        <w:widowControl w:val="0"/>
        <w:spacing w:beforeAutospacing="1" w:afterAutospacing="1"/>
        <w:rPr>
          <w:rFonts w:cs="Arial"/>
        </w:rPr>
      </w:pPr>
      <w:r>
        <w:rPr>
          <w:rFonts w:cs="Arial"/>
        </w:rPr>
        <w:t xml:space="preserve">The Community Development Department (CDD) also received valuable updates through its membership </w:t>
      </w:r>
      <w:proofErr w:type="gramStart"/>
      <w:r>
        <w:rPr>
          <w:rFonts w:cs="Arial"/>
        </w:rPr>
        <w:t>in</w:t>
      </w:r>
      <w:proofErr w:type="gramEnd"/>
      <w:r>
        <w:rPr>
          <w:rFonts w:cs="Arial"/>
        </w:rPr>
        <w:t xml:space="preserve"> the National Community Development Association (NCDA)</w:t>
      </w:r>
      <w:r>
        <w:rPr>
          <w:rFonts w:cs="Arial"/>
          <w:i/>
        </w:rPr>
        <w:t>.  </w:t>
      </w:r>
      <w:r>
        <w:rPr>
          <w:rFonts w:cs="Arial"/>
        </w:rPr>
        <w:t xml:space="preserve">CDD Division Director attended the November 18, </w:t>
      </w:r>
      <w:proofErr w:type="gramStart"/>
      <w:r>
        <w:rPr>
          <w:rFonts w:cs="Arial"/>
        </w:rPr>
        <w:t>2024</w:t>
      </w:r>
      <w:proofErr w:type="gramEnd"/>
      <w:r>
        <w:rPr>
          <w:rFonts w:cs="Arial"/>
        </w:rPr>
        <w:t xml:space="preserve"> NCDA Region 1 conference in Providence, Rhode Island and the May 6, </w:t>
      </w:r>
      <w:proofErr w:type="gramStart"/>
      <w:r>
        <w:rPr>
          <w:rFonts w:cs="Arial"/>
        </w:rPr>
        <w:t>2025</w:t>
      </w:r>
      <w:proofErr w:type="gramEnd"/>
      <w:r>
        <w:rPr>
          <w:rFonts w:cs="Arial"/>
        </w:rPr>
        <w:t xml:space="preserve"> Spring conference in Worcester, along with the Fall, 2025 NCDA Meeting in early December in New Bedford, where technical assistance and important updates were provided.</w:t>
      </w:r>
    </w:p>
    <w:p w14:paraId="091DACA4" w14:textId="77777777" w:rsidR="00E2285C" w:rsidRDefault="00730313">
      <w:pPr>
        <w:widowControl w:val="0"/>
        <w:spacing w:beforeAutospacing="1" w:afterAutospacing="1"/>
        <w:rPr>
          <w:rFonts w:cs="Arial"/>
        </w:rPr>
      </w:pPr>
      <w:r>
        <w:rPr>
          <w:rFonts w:cs="Arial"/>
        </w:rPr>
        <w:t>In PY24, City staff participated in virtual HUD webinars focusing on various elements of the Environmental Review (ER) process as well.</w:t>
      </w:r>
    </w:p>
    <w:p w14:paraId="5274BAA9" w14:textId="77777777" w:rsidR="00E2285C" w:rsidRDefault="00730313">
      <w:pPr>
        <w:widowControl w:val="0"/>
        <w:spacing w:beforeAutospacing="1" w:afterAutospacing="1"/>
        <w:rPr>
          <w:rFonts w:cs="Arial"/>
        </w:rPr>
      </w:pPr>
      <w:r>
        <w:rPr>
          <w:rFonts w:cs="Arial"/>
        </w:rPr>
        <w:t>CDD staff conducted on-site subrecipient monitoring visits, along with desk reviews conducted through IDIS and other internal procedures.  Whenever possible, non-profits were provided or connected with technical assistance.</w:t>
      </w:r>
      <w:r>
        <w:rPr>
          <w:rFonts w:cs="Arial"/>
          <w:i/>
        </w:rPr>
        <w:t>  </w:t>
      </w:r>
      <w:r>
        <w:rPr>
          <w:rFonts w:cs="Arial"/>
        </w:rPr>
        <w:t>The CDD offered Technical Assistance sessions for prospective non-profit applicants prior to submission date for its annual Public Services Request for Proposals (RFP), on February 12, 2025.  New subrecipients were connected to other resources to increase their capacity, operations and structure, such as Community Inroads (Lawrence) and the Chambers of Commerce Non-Proft subcommittees.</w:t>
      </w:r>
    </w:p>
    <w:p w14:paraId="6329D03E" w14:textId="77777777" w:rsidR="00E2285C" w:rsidRDefault="00730313">
      <w:pPr>
        <w:widowControl w:val="0"/>
        <w:spacing w:beforeAutospacing="1" w:afterAutospacing="1"/>
        <w:rPr>
          <w:rFonts w:cs="Arial"/>
        </w:rPr>
      </w:pPr>
      <w:r>
        <w:rPr>
          <w:rFonts w:cs="Arial"/>
        </w:rPr>
        <w:t>Within City Hall, CDD staff meets routinely with officials from other City departments to coordinate and explain what can and cannot be done with CDBG.</w:t>
      </w:r>
      <w:r>
        <w:rPr>
          <w:rFonts w:cs="Arial"/>
          <w:i/>
        </w:rPr>
        <w:t> </w:t>
      </w:r>
      <w:r>
        <w:rPr>
          <w:rFonts w:cs="Arial"/>
        </w:rPr>
        <w:t xml:space="preserve"> The CDD Housing Manager regularly interacts with Inspectional staff and Code Team to review 'Building Blocks' vacant property predictive software as well as the revised </w:t>
      </w:r>
      <w:proofErr w:type="spellStart"/>
      <w:r>
        <w:rPr>
          <w:rFonts w:cs="Arial"/>
        </w:rPr>
        <w:t>ViewPermit</w:t>
      </w:r>
      <w:proofErr w:type="spellEnd"/>
      <w:r>
        <w:rPr>
          <w:rFonts w:cs="Arial"/>
        </w:rPr>
        <w:t xml:space="preserve"> </w:t>
      </w:r>
      <w:proofErr w:type="spellStart"/>
      <w:r>
        <w:rPr>
          <w:rFonts w:cs="Arial"/>
        </w:rPr>
        <w:t>OpenGov</w:t>
      </w:r>
      <w:proofErr w:type="spellEnd"/>
      <w:r>
        <w:rPr>
          <w:rFonts w:cs="Arial"/>
        </w:rPr>
        <w:t xml:space="preserve"> online cloud-based permitting system.</w:t>
      </w:r>
      <w:r>
        <w:rPr>
          <w:rFonts w:cs="Arial"/>
          <w:i/>
        </w:rPr>
        <w:t xml:space="preserve">  </w:t>
      </w:r>
      <w:r>
        <w:rPr>
          <w:rFonts w:cs="Arial"/>
        </w:rPr>
        <w:t>The Housing Manager advises the Board of Appeals to ensure better structure, decision writing and processes for this rule-making organization.  HRCCP Staff attend weekly Inspectors Team meetings to coordinate Code Enforcement practices, expedite projects and combine efforts.</w:t>
      </w:r>
    </w:p>
    <w:p w14:paraId="5626B51C" w14:textId="77777777" w:rsidR="00E2285C" w:rsidRDefault="00730313">
      <w:pPr>
        <w:widowControl w:val="0"/>
        <w:spacing w:beforeAutospacing="1" w:afterAutospacing="1"/>
        <w:rPr>
          <w:rFonts w:cs="Arial"/>
        </w:rPr>
      </w:pPr>
      <w:r>
        <w:rPr>
          <w:rFonts w:cs="Arial"/>
        </w:rPr>
        <w:lastRenderedPageBreak/>
        <w:t xml:space="preserve">A rigorous annual outside City audit was conducted by a new firm Roselli, Clark and Associates, CPA, </w:t>
      </w:r>
      <w:proofErr w:type="spellStart"/>
      <w:r>
        <w:rPr>
          <w:rFonts w:cs="Arial"/>
        </w:rPr>
        <w:t>examing</w:t>
      </w:r>
      <w:proofErr w:type="spellEnd"/>
      <w:r>
        <w:rPr>
          <w:rFonts w:cs="Arial"/>
        </w:rPr>
        <w:t xml:space="preserve"> budgets, expenses and fiscal procedures of all City accounts.  </w:t>
      </w:r>
    </w:p>
    <w:p w14:paraId="25FEE42A" w14:textId="77777777" w:rsidR="00E2285C" w:rsidRDefault="00730313">
      <w:pPr>
        <w:widowControl w:val="0"/>
        <w:spacing w:beforeAutospacing="1" w:afterAutospacing="1"/>
        <w:rPr>
          <w:rFonts w:cs="Arial"/>
        </w:rPr>
      </w:pPr>
      <w:r>
        <w:rPr>
          <w:rFonts w:cs="Arial"/>
        </w:rPr>
        <w:t xml:space="preserve">City planning capacity was enhanced through active partnerships with the Merrimack Valley Planning Commission's Comprehensive Economic Development Strategy (CEDS) </w:t>
      </w:r>
      <w:proofErr w:type="gramStart"/>
      <w:r>
        <w:rPr>
          <w:rFonts w:cs="Arial"/>
        </w:rPr>
        <w:t>committee,  MVPC</w:t>
      </w:r>
      <w:proofErr w:type="gramEnd"/>
      <w:r>
        <w:rPr>
          <w:rFonts w:cs="Arial"/>
        </w:rPr>
        <w:t xml:space="preserve"> monthly Regional Planners committee, the </w:t>
      </w:r>
      <w:proofErr w:type="spellStart"/>
      <w:r>
        <w:rPr>
          <w:rFonts w:cs="Arial"/>
        </w:rPr>
        <w:t>MassHire</w:t>
      </w:r>
      <w:proofErr w:type="spellEnd"/>
      <w:r>
        <w:rPr>
          <w:rFonts w:cs="Arial"/>
        </w:rPr>
        <w:t xml:space="preserve"> Merrimack Valley Workforce Board, MassINC's Gateway Cities Forum and other partnerships and initiatives.   Through CDBG Administrative funds, the CDD also oversees efforts of a Grant seeker/Grant writer to further leverage CDBG funds.</w:t>
      </w:r>
    </w:p>
    <w:p w14:paraId="3E83F5CD" w14:textId="77777777" w:rsidR="00E2285C" w:rsidRDefault="00730313">
      <w:pPr>
        <w:widowControl w:val="0"/>
        <w:spacing w:beforeAutospacing="1" w:afterAutospacing="1"/>
        <w:rPr>
          <w:rFonts w:cs="Arial"/>
        </w:rPr>
      </w:pPr>
      <w:r>
        <w:rPr>
          <w:rFonts w:cs="Arial"/>
          <w:i/>
        </w:rPr>
        <w:t> </w:t>
      </w:r>
    </w:p>
    <w:p w14:paraId="67798B71" w14:textId="77777777" w:rsidR="00E2285C" w:rsidRDefault="00730313">
      <w:r>
        <w:rPr>
          <w:rFonts w:cs="Arial"/>
          <w:b/>
          <w:szCs w:val="26"/>
        </w:rPr>
        <w:t>Lead Hazard Capacity Building Trainings</w:t>
      </w:r>
    </w:p>
    <w:p w14:paraId="3CE76350" w14:textId="77777777" w:rsidR="00E2285C" w:rsidRDefault="00730313">
      <w:pPr>
        <w:widowControl w:val="0"/>
        <w:spacing w:beforeAutospacing="1" w:afterAutospacing="1"/>
        <w:rPr>
          <w:rFonts w:cs="Arial"/>
          <w:szCs w:val="26"/>
        </w:rPr>
      </w:pPr>
      <w:r>
        <w:t xml:space="preserve">Washington DC: New Grantee Orientation Conference 12/3 - 12/5, 2024Examples of sessions attended: Environmental Reviews, New Grantee Start-Up, Fiscal Accountability, Grant Management Overview, etc. Wilmington, MA: Contractor/Supervisor </w:t>
      </w:r>
      <w:proofErr w:type="spellStart"/>
      <w:r>
        <w:t>Deleader</w:t>
      </w:r>
      <w:proofErr w:type="spellEnd"/>
      <w:r>
        <w:t xml:space="preserve"> Training 3/17 - 3/20, 2025 This four-day course is designed for </w:t>
      </w:r>
      <w:proofErr w:type="spellStart"/>
      <w:r>
        <w:t>deleading</w:t>
      </w:r>
      <w:proofErr w:type="spellEnd"/>
      <w:r>
        <w:t xml:space="preserve"> residential dwellings, including houses and large buildings with numerous units pursuant to the requirements of the Massachusetts Department of Labor Standards (DLS) and Childhood Lead Poisoning Prevention Program (CLPPP). Those who attend the Contractor/Supervisor courses can get licensed as a worker, supervisor, or contractor. (I took this language right from IEE website!) New Orleans, LA: National Home Performance Conferen</w:t>
      </w:r>
      <w:r>
        <w:t xml:space="preserve">ce &amp; Trade Show (HUD Program Manager School) 4/7 - 4/9, 2025Examples of sessions/seminars attended: HUD Environmental Requirements, OLHCHH New Grantee Bootcamp - Contractor Outreach and Procurement, Marketing and Outreach, Project Flow Chart, Removing Barriers, etc. Virtual: New Grantee Orientation Training 7/29 - 7/30, 2025 Sessions: Overview of </w:t>
      </w:r>
      <w:proofErr w:type="spellStart"/>
      <w:r>
        <w:t>eLOCCS</w:t>
      </w:r>
      <w:proofErr w:type="spellEnd"/>
      <w:r>
        <w:t xml:space="preserve">, Environmental Review, Healthy Homes Production and Lead Capacity Building Grantees, Program Management and Monitoring. New Bedford, MA: National Community </w:t>
      </w:r>
      <w:r>
        <w:t>Development Association Region 1 Conference 12/3, 2025 Lead Training/Information Session on Program Management, Local Resource (MA CLPPP), etc. Wilmington, MA: Lead Inspector/Risk Assessor Training 10/14 - 10/26 &amp; 10/20 - 10/22, 2025The six-day training course teaches how to perform lead inspections and risk assessments in residential property in Massachusetts. Information provided in this course can also help individuals perform OSHA type inspections in commercial (non-residential) buildings that do not fa</w:t>
      </w:r>
      <w:r>
        <w:t>ll under the Massachusetts Lead Law. Topics include background information on lead, sources of lead exposure, health effects for adults and children, regulatory information, testing equipment, and procedures for performing lead inspections, risk assessments, re-inspections and post compliance inspections.</w:t>
      </w:r>
    </w:p>
    <w:p w14:paraId="13D9D82B" w14:textId="77777777" w:rsidR="00FE3457" w:rsidRDefault="005268B9">
      <w:pPr>
        <w:widowControl w:val="0"/>
        <w:rPr>
          <w:b/>
          <w:sz w:val="24"/>
          <w:szCs w:val="24"/>
        </w:rPr>
      </w:pPr>
      <w:r>
        <w:rPr>
          <w:b/>
          <w:sz w:val="24"/>
          <w:szCs w:val="24"/>
        </w:rPr>
        <w:t>Actions taken to enhance coordination between public and private housing and social service agencies. 91.220(k); 91.320(j)</w:t>
      </w:r>
    </w:p>
    <w:p w14:paraId="2746B6E0" w14:textId="77777777" w:rsidR="00E2285C" w:rsidRDefault="00730313">
      <w:pPr>
        <w:widowControl w:val="0"/>
        <w:spacing w:beforeAutospacing="1" w:afterAutospacing="1"/>
        <w:rPr>
          <w:rFonts w:cs="Arial"/>
        </w:rPr>
      </w:pPr>
      <w:r>
        <w:rPr>
          <w:rFonts w:cs="Arial"/>
        </w:rPr>
        <w:t xml:space="preserve">Haverhill Housing Authority (HHA) leadership, with help from the City, has expanded outreach to, and coordination with, multiple and various social service agencies.  HHA continues to work with Emmaus, Inc. to administer Rapid </w:t>
      </w:r>
      <w:proofErr w:type="gramStart"/>
      <w:r>
        <w:rPr>
          <w:rFonts w:cs="Arial"/>
        </w:rPr>
        <w:t>Rehousing</w:t>
      </w:r>
      <w:proofErr w:type="gramEnd"/>
      <w:r>
        <w:rPr>
          <w:rFonts w:cs="Arial"/>
        </w:rPr>
        <w:t xml:space="preserve"> and other State grants for the community. The City has taken steps </w:t>
      </w:r>
      <w:r>
        <w:rPr>
          <w:rFonts w:cs="Arial"/>
        </w:rPr>
        <w:lastRenderedPageBreak/>
        <w:t xml:space="preserve">to foster relationships between the HHA and other providers, such as the YWCA, Common Ground, Bethany Community Services, the Haverhill Council on Aging, Community Action, Inc. (CAI), </w:t>
      </w:r>
      <w:proofErr w:type="spellStart"/>
      <w:r>
        <w:rPr>
          <w:rFonts w:cs="Arial"/>
        </w:rPr>
        <w:t>Vinfen</w:t>
      </w:r>
      <w:proofErr w:type="spellEnd"/>
      <w:r>
        <w:rPr>
          <w:rFonts w:cs="Arial"/>
        </w:rPr>
        <w:t xml:space="preserve"> and others. Having Community Action located next door to the HHA headquarters in Washington Square has proven convenient for </w:t>
      </w:r>
      <w:proofErr w:type="gramStart"/>
      <w:r>
        <w:rPr>
          <w:rFonts w:cs="Arial"/>
        </w:rPr>
        <w:t>many, and</w:t>
      </w:r>
      <w:proofErr w:type="gramEnd"/>
      <w:r>
        <w:rPr>
          <w:rFonts w:cs="Arial"/>
        </w:rPr>
        <w:t xml:space="preserve"> has led to enhanced service coordination.  Management of the Merrimack Valley Regional Transit Authority (MEV</w:t>
      </w:r>
      <w:r>
        <w:rPr>
          <w:rFonts w:cs="Arial"/>
        </w:rPr>
        <w:t xml:space="preserve">A) continued operating buses fare-free thanks to American Rescue Plan (ARP) funds, </w:t>
      </w:r>
      <w:proofErr w:type="gramStart"/>
      <w:r>
        <w:rPr>
          <w:rFonts w:cs="Arial"/>
        </w:rPr>
        <w:t>in order to</w:t>
      </w:r>
      <w:proofErr w:type="gramEnd"/>
      <w:r>
        <w:rPr>
          <w:rFonts w:cs="Arial"/>
        </w:rPr>
        <w:t xml:space="preserve"> provide greater access to transit for HHA residents-- to work, medical, shopping and other reasons.</w:t>
      </w:r>
    </w:p>
    <w:p w14:paraId="5EE26D44" w14:textId="77777777" w:rsidR="00E2285C" w:rsidRDefault="00730313">
      <w:pPr>
        <w:widowControl w:val="0"/>
        <w:spacing w:beforeAutospacing="1" w:afterAutospacing="1"/>
        <w:rPr>
          <w:rFonts w:cs="Arial"/>
        </w:rPr>
      </w:pPr>
      <w:r>
        <w:rPr>
          <w:rFonts w:cs="Arial"/>
        </w:rPr>
        <w:t xml:space="preserve">Community Teamwork Inc. (CTI) in Lowell provides additional Section 8 vouchers for constituents, in addition to those vouchers administered by HHA. Expanding the utilization of these vouchers is important as they still represent the best way (according to researchers) to provide housing </w:t>
      </w:r>
      <w:proofErr w:type="gramStart"/>
      <w:r>
        <w:rPr>
          <w:rFonts w:cs="Arial"/>
        </w:rPr>
        <w:t>to</w:t>
      </w:r>
      <w:proofErr w:type="gramEnd"/>
      <w:r>
        <w:rPr>
          <w:rFonts w:cs="Arial"/>
        </w:rPr>
        <w:t xml:space="preserve"> those who would likely be homeless otherwise. Of course, vouchers require available units, which has become a significant problem in Haverhill. CAI administers the State-funded Residential Assistance to Families in Transition (RAFT) rental vouchers.    The Commonwealth struggled over the last year with funding for rental and other housing assistance, as the strain of migrants has led to strict limitations.</w:t>
      </w:r>
    </w:p>
    <w:p w14:paraId="2F86A4E4" w14:textId="77777777" w:rsidR="00E2285C" w:rsidRDefault="00730313">
      <w:pPr>
        <w:widowControl w:val="0"/>
        <w:spacing w:beforeAutospacing="1" w:afterAutospacing="1"/>
        <w:rPr>
          <w:rFonts w:cs="Arial"/>
        </w:rPr>
      </w:pPr>
      <w:r>
        <w:rPr>
          <w:rFonts w:cs="Arial"/>
        </w:rPr>
        <w:t xml:space="preserve">The City is discussing with its affordable housing </w:t>
      </w:r>
      <w:proofErr w:type="gramStart"/>
      <w:r>
        <w:rPr>
          <w:rFonts w:cs="Arial"/>
        </w:rPr>
        <w:t>developers</w:t>
      </w:r>
      <w:proofErr w:type="gramEnd"/>
      <w:r>
        <w:rPr>
          <w:rFonts w:cs="Arial"/>
        </w:rPr>
        <w:t xml:space="preserve"> ways in which to link their current and/or future residents with the city's strong network of social service providers, and to connect HHA residents to these projects.</w:t>
      </w:r>
    </w:p>
    <w:p w14:paraId="5B709AD7" w14:textId="77777777" w:rsidR="00E2285C" w:rsidRDefault="00730313">
      <w:pPr>
        <w:widowControl w:val="0"/>
        <w:spacing w:beforeAutospacing="1" w:afterAutospacing="1"/>
        <w:rPr>
          <w:rFonts w:cs="Arial"/>
        </w:rPr>
      </w:pPr>
      <w:r>
        <w:rPr>
          <w:rFonts w:cs="Arial"/>
        </w:rPr>
        <w:t>HHA residents are targets of a promotional campaign for the Budget Buddies curriculum that improves credit scores and credit awareness, with low credit a major impediment for many.</w:t>
      </w:r>
    </w:p>
    <w:p w14:paraId="09F1060C" w14:textId="77777777" w:rsidR="00E2285C" w:rsidRDefault="00730313">
      <w:pPr>
        <w:widowControl w:val="0"/>
        <w:spacing w:beforeAutospacing="1" w:afterAutospacing="1"/>
        <w:rPr>
          <w:rFonts w:cs="Arial"/>
        </w:rPr>
      </w:pPr>
      <w:r>
        <w:rPr>
          <w:rFonts w:cs="Arial"/>
        </w:rPr>
        <w:t>Connecting low-income residents with the services of Northeast Legal Aid, providing pro bono civil legal assistance (usually around foreclosures and evictions), has been very beneficial for many. NLA is funded through American Rescue Plan Act funds through 2026.</w:t>
      </w:r>
    </w:p>
    <w:p w14:paraId="7E81A8F6" w14:textId="77777777" w:rsidR="00E2285C" w:rsidRDefault="00730313">
      <w:pPr>
        <w:widowControl w:val="0"/>
        <w:spacing w:beforeAutospacing="1" w:afterAutospacing="1"/>
        <w:rPr>
          <w:rFonts w:cs="Arial"/>
        </w:rPr>
      </w:pPr>
      <w:r>
        <w:rPr>
          <w:rFonts w:cs="Arial"/>
        </w:rPr>
        <w:t>The Interfaith Network of Compassion (INC), a coalition of service providers including the City, enhances coordination, shares information, makes referrals and regularly updates the Haverhill Resource Guide it develops.  This pamphlet provides those living in public and private housing with reliable contact and referral information to more easily obtain needed resources.</w:t>
      </w:r>
    </w:p>
    <w:p w14:paraId="4F3BE4D2" w14:textId="77777777" w:rsidR="00FE3457" w:rsidRDefault="005268B9">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47C62514" w14:textId="77777777" w:rsidR="00E2285C" w:rsidRDefault="00730313">
      <w:pPr>
        <w:widowControl w:val="0"/>
        <w:spacing w:beforeAutospacing="1" w:afterAutospacing="1"/>
        <w:rPr>
          <w:rFonts w:cs="Arial"/>
        </w:rPr>
      </w:pPr>
      <w:r>
        <w:rPr>
          <w:rFonts w:cs="Arial"/>
        </w:rPr>
        <w:t>Previous 'Impediments to Fair Housing Choice' reports identified the following concerns and impediments:</w:t>
      </w:r>
    </w:p>
    <w:p w14:paraId="17895379" w14:textId="77777777" w:rsidR="00E2285C" w:rsidRDefault="00730313">
      <w:pPr>
        <w:widowControl w:val="0"/>
        <w:spacing w:beforeAutospacing="1" w:afterAutospacing="1"/>
        <w:rPr>
          <w:rFonts w:cs="Arial"/>
        </w:rPr>
      </w:pPr>
      <w:r>
        <w:rPr>
          <w:rFonts w:cs="Arial"/>
        </w:rPr>
        <w:t>IMPEDIMENT -Foreclosures</w:t>
      </w:r>
    </w:p>
    <w:p w14:paraId="0A540F51" w14:textId="77777777" w:rsidR="00E2285C" w:rsidRDefault="00730313">
      <w:pPr>
        <w:widowControl w:val="0"/>
        <w:spacing w:beforeAutospacing="1" w:afterAutospacing="1"/>
        <w:rPr>
          <w:rFonts w:cs="Arial"/>
        </w:rPr>
      </w:pPr>
      <w:r>
        <w:rPr>
          <w:rFonts w:cs="Arial"/>
        </w:rPr>
        <w:t>Action Step: Prevention- The City works closely with area lenders, foreclosure prevention specialists and HUD-certified counseling agencies, community action agencies and Merrimack Valley Legal Aid (ARPA-</w:t>
      </w:r>
      <w:r>
        <w:rPr>
          <w:rFonts w:cs="Arial"/>
        </w:rPr>
        <w:lastRenderedPageBreak/>
        <w:t xml:space="preserve">funded) to help residents avoid foreclosures.  This includes information dissemination, workshops, legal assistance or direct counseling.  Among the local agencies to which the City makes referrals are Lawrence </w:t>
      </w:r>
      <w:proofErr w:type="spellStart"/>
      <w:r>
        <w:rPr>
          <w:rFonts w:cs="Arial"/>
        </w:rPr>
        <w:t>CommunityWorks</w:t>
      </w:r>
      <w:proofErr w:type="spellEnd"/>
      <w:r>
        <w:rPr>
          <w:rFonts w:cs="Arial"/>
        </w:rPr>
        <w:t xml:space="preserve"> (featuring foreclosure counseling in Spanish), Nectar (formerly Mill Cities Communities Investments) in Lawrence, and Community Action, Inc. (Haverhill). The City through its Assessors Office subscribes to and receives Warren Reports and reviews real estate listings, seeking Real Estat</w:t>
      </w:r>
      <w:r>
        <w:rPr>
          <w:rFonts w:cs="Arial"/>
        </w:rPr>
        <w:t>e Owned (REO) transactions.  The City also works with the Registry of Deeds and State Attorney General's on these issues.</w:t>
      </w:r>
    </w:p>
    <w:p w14:paraId="55DC5F68" w14:textId="77777777" w:rsidR="00E2285C" w:rsidRDefault="00730313">
      <w:pPr>
        <w:widowControl w:val="0"/>
        <w:spacing w:beforeAutospacing="1" w:afterAutospacing="1"/>
        <w:rPr>
          <w:rFonts w:cs="Arial"/>
        </w:rPr>
      </w:pPr>
      <w:r>
        <w:rPr>
          <w:rFonts w:cs="Arial"/>
        </w:rPr>
        <w:t xml:space="preserve">Action Step: Code Enforcement- CDBG funds the activity (IDIS #1464) of part-time building, health, safety and sanitary code enforcement officers charged with investigating housing and other conditions, </w:t>
      </w:r>
      <w:proofErr w:type="gramStart"/>
      <w:r>
        <w:rPr>
          <w:rFonts w:cs="Arial"/>
        </w:rPr>
        <w:t>including at</w:t>
      </w:r>
      <w:proofErr w:type="gramEnd"/>
      <w:r>
        <w:rPr>
          <w:rFonts w:cs="Arial"/>
        </w:rPr>
        <w:t xml:space="preserve"> foreclosed, neglected or possibly vacant properties. In the case of higher-income income absentee landlords, code enforcement is the only City tool to ensure residents (renters and abutters) have safe, clean and decent housing.</w:t>
      </w:r>
    </w:p>
    <w:p w14:paraId="0244EF7A" w14:textId="77777777" w:rsidR="00E2285C" w:rsidRDefault="00730313">
      <w:pPr>
        <w:widowControl w:val="0"/>
        <w:spacing w:beforeAutospacing="1" w:afterAutospacing="1"/>
        <w:rPr>
          <w:rFonts w:cs="Arial"/>
        </w:rPr>
      </w:pPr>
      <w:r>
        <w:rPr>
          <w:rFonts w:cs="Arial"/>
        </w:rPr>
        <w:t xml:space="preserve">Action Step: </w:t>
      </w:r>
      <w:proofErr w:type="spellStart"/>
      <w:r>
        <w:rPr>
          <w:rFonts w:cs="Arial"/>
        </w:rPr>
        <w:t>Tolemi's</w:t>
      </w:r>
      <w:proofErr w:type="spellEnd"/>
      <w:r>
        <w:rPr>
          <w:rFonts w:cs="Arial"/>
        </w:rPr>
        <w:t xml:space="preserve"> Building Blocks software- In PY24, the City continued utilization of a predictive analysis and tracking software that uses certain factors (i.e. lack of water usage) to highlight certain </w:t>
      </w:r>
      <w:proofErr w:type="gramStart"/>
      <w:r>
        <w:rPr>
          <w:rFonts w:cs="Arial"/>
        </w:rPr>
        <w:t>properties</w:t>
      </w:r>
      <w:proofErr w:type="gramEnd"/>
      <w:r>
        <w:rPr>
          <w:rFonts w:cs="Arial"/>
        </w:rPr>
        <w:t xml:space="preserve"> as being at risk of vacancy, abandonment and foreclosure.  This tool is integrated within the City's other software and geographic information systems (GIS).</w:t>
      </w:r>
    </w:p>
    <w:p w14:paraId="29A3D4DE" w14:textId="77777777" w:rsidR="00E2285C" w:rsidRDefault="00730313">
      <w:pPr>
        <w:widowControl w:val="0"/>
        <w:spacing w:beforeAutospacing="1" w:afterAutospacing="1"/>
        <w:rPr>
          <w:rFonts w:cs="Arial"/>
        </w:rPr>
      </w:pPr>
      <w:r>
        <w:rPr>
          <w:rFonts w:cs="Arial"/>
        </w:rPr>
        <w:t>IMPEDIMENT-Lack of Fair Housing Outreach and Education-</w:t>
      </w:r>
    </w:p>
    <w:p w14:paraId="0D2A0F50" w14:textId="77777777" w:rsidR="00E2285C" w:rsidRDefault="00730313">
      <w:pPr>
        <w:widowControl w:val="0"/>
        <w:spacing w:beforeAutospacing="1" w:afterAutospacing="1"/>
        <w:rPr>
          <w:rFonts w:cs="Arial"/>
        </w:rPr>
      </w:pPr>
      <w:r>
        <w:rPr>
          <w:rFonts w:cs="Arial"/>
        </w:rPr>
        <w:t xml:space="preserve">Action Step: Information and Outreach- The City's Community Development Department serves as a public repository of Fair Housing information from HUD and other public agencies. Many Foreclosure prevention agencies and CDBG subrecipients also </w:t>
      </w:r>
      <w:proofErr w:type="gramStart"/>
      <w:r>
        <w:rPr>
          <w:rFonts w:cs="Arial"/>
        </w:rPr>
        <w:t>provide assistance</w:t>
      </w:r>
      <w:proofErr w:type="gramEnd"/>
      <w:r>
        <w:rPr>
          <w:rFonts w:cs="Arial"/>
        </w:rPr>
        <w:t xml:space="preserve"> with Fair Housing issues, advocacy and guidance. The CDD also regularly updates the Haverhill Landlords Guild and minority residents on Fair Housing obligations and regulations. Applicants to the CDBG-funded First-Time Homebuyers program are made aware of these tools and their rights as well.</w:t>
      </w:r>
    </w:p>
    <w:p w14:paraId="219A1F32" w14:textId="77777777" w:rsidR="00E2285C" w:rsidRDefault="00730313">
      <w:pPr>
        <w:widowControl w:val="0"/>
        <w:spacing w:beforeAutospacing="1" w:afterAutospacing="1"/>
        <w:rPr>
          <w:rFonts w:cs="Arial"/>
        </w:rPr>
      </w:pPr>
      <w:r>
        <w:rPr>
          <w:rFonts w:cs="Arial"/>
        </w:rPr>
        <w:t>IMPEDIMENT- Residents Unable to Access Fair Housing Marketing</w:t>
      </w:r>
    </w:p>
    <w:p w14:paraId="30AB7E4F" w14:textId="77777777" w:rsidR="00E2285C" w:rsidRDefault="00730313">
      <w:pPr>
        <w:widowControl w:val="0"/>
        <w:spacing w:beforeAutospacing="1" w:afterAutospacing="1"/>
        <w:rPr>
          <w:rFonts w:cs="Arial"/>
        </w:rPr>
      </w:pPr>
      <w:r>
        <w:rPr>
          <w:rFonts w:cs="Arial"/>
        </w:rPr>
        <w:t xml:space="preserve">Action Step: The City is unofficially playing a more active role in promoting affordable housing lotteries in Haverhill, which are required for State (Executive Office of Housing and Livable Communities)-funded housing projects.  Too often, poor, minority, and non-English speaking city residents are left unaware of these lotteries from which they could surely benefit.  </w:t>
      </w:r>
      <w:proofErr w:type="gramStart"/>
      <w:r>
        <w:rPr>
          <w:rFonts w:cs="Arial"/>
        </w:rPr>
        <w:t>In order to</w:t>
      </w:r>
      <w:proofErr w:type="gramEnd"/>
      <w:r>
        <w:rPr>
          <w:rFonts w:cs="Arial"/>
        </w:rPr>
        <w:t xml:space="preserve"> ensure that more </w:t>
      </w:r>
      <w:proofErr w:type="gramStart"/>
      <w:r>
        <w:rPr>
          <w:rFonts w:cs="Arial"/>
        </w:rPr>
        <w:t>local residents</w:t>
      </w:r>
      <w:proofErr w:type="gramEnd"/>
      <w:r>
        <w:rPr>
          <w:rFonts w:cs="Arial"/>
        </w:rPr>
        <w:t xml:space="preserve"> have access to the affordable housing units being created in Haverhill, the City actively promotes housing lotteries and keeps lists of households wishing to be made aware of them.</w:t>
      </w:r>
      <w:r>
        <w:rPr>
          <w:rFonts w:cs="Arial"/>
          <w:i/>
        </w:rPr>
        <w:t>  </w:t>
      </w:r>
    </w:p>
    <w:p w14:paraId="3E195891" w14:textId="77777777" w:rsidR="00E2285C" w:rsidRDefault="00730313">
      <w:r>
        <w:rPr>
          <w:rFonts w:cs="Arial"/>
          <w:b/>
          <w:szCs w:val="26"/>
        </w:rPr>
        <w:t>ADDENDUM I-Lead-Based Paint</w:t>
      </w:r>
    </w:p>
    <w:p w14:paraId="6D679188" w14:textId="77777777" w:rsidR="00E2285C" w:rsidRDefault="00730313">
      <w:pPr>
        <w:widowControl w:val="0"/>
        <w:spacing w:beforeAutospacing="1" w:afterAutospacing="1"/>
        <w:rPr>
          <w:rFonts w:cs="Arial"/>
          <w:szCs w:val="26"/>
        </w:rPr>
      </w:pPr>
      <w:r>
        <w:t>IMPEDIMENT-Discrimination against Families with Young Children due to the Possible Presence of Lead-based Paint</w:t>
      </w:r>
      <w:proofErr w:type="gramStart"/>
      <w:r>
        <w:t>-  Action</w:t>
      </w:r>
      <w:proofErr w:type="gramEnd"/>
      <w:r>
        <w:t xml:space="preserve"> Step: Referral to Lead Assessment and Abatement Resources- There is clearly discrimination against families with young children by multi-family property owners concerned about </w:t>
      </w:r>
      <w:r>
        <w:lastRenderedPageBreak/>
        <w:t>their legal liability due to the possible presence of lead-based paint in their units. Due to the expense of removal, property owners have pervasive fears about having a young child poisoned and winding up in court defending a lawsuit. The City works to apprise renters and homeowners of their rights and obligations under the</w:t>
      </w:r>
      <w:r>
        <w:t xml:space="preserve"> law as explained on pamphlets, posters and other materials.  More importantly, the City tries to provide or connect resources to the home-owning public. Among the resources for addressing lead-based paint are the City's own HRCCP and Mass Housing's 'Get the Lead Out' program, which the City helps to administer and oversee to make housing units and (in case of multi-family dwellings) tenants safe. This past year featured lead-based paint removal in 4 properties and 2 units made certifiably lead-safe through</w:t>
      </w:r>
      <w:r>
        <w:t xml:space="preserve"> HRCCP and 3 units through Get the Lead Out. Action Step: Advocacy on lead-based paint- The CDD actively promotes and disseminates information concerning lead-based paint hazards to scores of individuals and households every year.  All participants in CDBG programs, especially HRCCP and First-Time Homebuyers, are made aware of the risks, their rights and their responsibilities under the law as it pertains to lead.  All contractors employed through </w:t>
      </w:r>
      <w:proofErr w:type="gramStart"/>
      <w:r>
        <w:t>the HRCCP</w:t>
      </w:r>
      <w:proofErr w:type="gramEnd"/>
      <w:r>
        <w:t xml:space="preserve"> are RRP-certified.  Ongoing outreach is conducted </w:t>
      </w:r>
      <w:r>
        <w:t>with landlords, through the Haverhill Landlords Guild, to reeducate them on the rules concerning non-discrimination against households with young children due to concerns or uncertainty about lead poisoning risks.  The City was recently awarded a major HUD Lead Hazard Reduction Capacity Grant (3 years, $2.43 million) in the hopes of developing additional resources to remove lead paint from our housing stock.</w:t>
      </w:r>
    </w:p>
    <w:p w14:paraId="39470CF6" w14:textId="77777777" w:rsidR="00E2285C" w:rsidRDefault="00730313">
      <w:r>
        <w:rPr>
          <w:rFonts w:cs="Arial"/>
          <w:b/>
          <w:szCs w:val="26"/>
        </w:rPr>
        <w:t>ADDENDUM II- Rents</w:t>
      </w:r>
    </w:p>
    <w:p w14:paraId="75C90B43" w14:textId="77777777" w:rsidR="00E2285C" w:rsidRDefault="00730313">
      <w:pPr>
        <w:widowControl w:val="0"/>
        <w:spacing w:beforeAutospacing="1" w:afterAutospacing="1"/>
        <w:rPr>
          <w:rFonts w:cs="Arial"/>
          <w:szCs w:val="26"/>
        </w:rPr>
      </w:pPr>
      <w:r>
        <w:t>IMPEDIMENT-Rental Increases -Action Step: Tracking, Communication and Advocacy- Rents in Haverhill are rising dramatically, in most cases far beyond what the average area median-income earner could pay at 30% or even 50% of income. Landlords are making large-rent increases in general.  2-bedroom units are upwards of $2100/month or more in many cases.  These increases are causing immense pain for low-income households, pricing many out of the market.  The Haverhill Landlords Guild tracks local rental rates a</w:t>
      </w:r>
      <w:r>
        <w:t xml:space="preserve">nd the rental market, among other issues. The CDD underscores </w:t>
      </w:r>
      <w:proofErr w:type="gramStart"/>
      <w:r>
        <w:t>to the Guild members the</w:t>
      </w:r>
      <w:proofErr w:type="gramEnd"/>
      <w:r>
        <w:t xml:space="preserve"> need to keep units affordable for those of very low incomes. Action Step: Rental Assistance- Many individuals and households of lesser means are seeking assistance paying rent, or are dependent upon social-service providers for non-housing essentials such as food, heat, clothing, furniture, etc. This dynamic remains greatly exacerbated post-COVID pandemic.    In PY24, 1 household received the </w:t>
      </w:r>
      <w:proofErr w:type="gramStart"/>
      <w:r>
        <w:t>last of</w:t>
      </w:r>
      <w:proofErr w:type="gramEnd"/>
      <w:r>
        <w:t xml:space="preserve"> emergency rental assi</w:t>
      </w:r>
      <w:r>
        <w:t xml:space="preserve">stance exclusively from CDBG-CV fund totaling $455.74.  CDBG funds also supported the St. James Parish St. Vincent DePaul's spot rent and utility assistance program for 16 households (IDIS #1472) and through All Saints Parish, which provided utility and rent assistance for an additional 15 households (IDIS #1471).  These volunteer programs provide one-time support to prevent imminent evictions or utility shutoffs.    Housing cases are also referred </w:t>
      </w:r>
      <w:proofErr w:type="gramStart"/>
      <w:r>
        <w:t>to</w:t>
      </w:r>
      <w:proofErr w:type="gramEnd"/>
      <w:r>
        <w:t xml:space="preserve"> the Massachusetts Department of Transitional Assistance </w:t>
      </w:r>
      <w:r>
        <w:t>(DTA) Office in Lawrence.</w:t>
      </w:r>
    </w:p>
    <w:p w14:paraId="3CC1F7A3" w14:textId="77777777" w:rsidR="00E2285C" w:rsidRDefault="00730313">
      <w:r>
        <w:rPr>
          <w:rFonts w:cs="Arial"/>
          <w:b/>
          <w:szCs w:val="26"/>
        </w:rPr>
        <w:t>ADDENDUM III- Housing Availability</w:t>
      </w:r>
    </w:p>
    <w:p w14:paraId="7845EA13" w14:textId="77777777" w:rsidR="00E2285C" w:rsidRDefault="00730313">
      <w:pPr>
        <w:widowControl w:val="0"/>
        <w:spacing w:beforeAutospacing="1" w:afterAutospacing="1"/>
        <w:rPr>
          <w:rFonts w:cs="Arial"/>
          <w:szCs w:val="26"/>
        </w:rPr>
      </w:pPr>
      <w:r>
        <w:t xml:space="preserve">IMPEDIMENT-Supply of Adequate Housing -Action Step: Housing Rehabilitation and Code Correction Program (HRCCP)- The City uses a majority of its CDBG funds to rehabilitate housing that has Code </w:t>
      </w:r>
      <w:r>
        <w:lastRenderedPageBreak/>
        <w:t xml:space="preserve">deficiencies, primarily located within the CDBG Target Area, </w:t>
      </w:r>
      <w:proofErr w:type="gramStart"/>
      <w:r>
        <w:t>in order to</w:t>
      </w:r>
      <w:proofErr w:type="gramEnd"/>
      <w:r>
        <w:t xml:space="preserve"> keep low-to-moderate income homeowners in their homes in safe, decent housing conditions. Action Step: HOME funds- The City generally prioritizes its HOME funds for the development/construction of new affordable housing units.  Action Step: Reducing Permitting Roadblocks- The City uses multiple tools and various programs to reduce permitting backlogs for developers of housing, including: 40R Smart Growth; 40B Affordable Housing; Housin</w:t>
      </w:r>
      <w:r>
        <w:t xml:space="preserve">g Development Incentive Program (HDIP); Tax Increment Financing (TIFs); 43D Expedited Permitting; </w:t>
      </w:r>
      <w:proofErr w:type="spellStart"/>
      <w:r>
        <w:t>ViewPermit</w:t>
      </w:r>
      <w:proofErr w:type="spellEnd"/>
      <w:r>
        <w:t xml:space="preserve"> (</w:t>
      </w:r>
      <w:proofErr w:type="spellStart"/>
      <w:r>
        <w:t>OpenGov</w:t>
      </w:r>
      <w:proofErr w:type="spellEnd"/>
      <w:r>
        <w:t>) online permitting system; Accessory Dwelling Units (ADUs) and other by-right zoning (such as density bonuses for riverfront views and access). These measures intend to expedite housing development to create a wide range of housing, including 'friendly' 40Bs and ADUs. In the past year, the City made ADU permitting easier and beefed up its Inclusionary Zoning ordinances.  Action Step: Distres</w:t>
      </w:r>
      <w:r>
        <w:t xml:space="preserve">sed Properties Identification and Revitalization- The City aggressively targets abandoned and vacant properties with the goal of getting them back into productive use.  The City's Vacant Property Manager uses the City's vacant property registry system, </w:t>
      </w:r>
      <w:proofErr w:type="spellStart"/>
      <w:r>
        <w:t>Tolemi</w:t>
      </w:r>
      <w:proofErr w:type="spellEnd"/>
      <w:r>
        <w:t xml:space="preserve"> Building Blocks software, Code Enforcement (IDIS #1417), and assistance from the State Attorney General's office to identify distressed bank or real estate owned (REO) vacant properties.  This multi-pronged effort seeks to correct code violations and g</w:t>
      </w:r>
      <w:r>
        <w:t>et these properties back onto the tax rolls, and back onto the market, whether through sale, Housing Court filings, or Receiverships.</w:t>
      </w:r>
    </w:p>
    <w:p w14:paraId="2D31CE25" w14:textId="77777777" w:rsidR="00FE3457" w:rsidRDefault="005268B9">
      <w:pPr>
        <w:pStyle w:val="Heading2"/>
        <w:pageBreakBefore/>
        <w:widowControl w:val="0"/>
        <w:rPr>
          <w:rFonts w:ascii="Calibri" w:hAnsi="Calibri"/>
          <w:i w:val="0"/>
        </w:rPr>
      </w:pPr>
      <w:r>
        <w:rPr>
          <w:rFonts w:ascii="Calibri" w:hAnsi="Calibri"/>
          <w:i w:val="0"/>
        </w:rPr>
        <w:lastRenderedPageBreak/>
        <w:t>CR-40 - Monitoring 91.220 and 91.230</w:t>
      </w:r>
    </w:p>
    <w:p w14:paraId="6ABE2300" w14:textId="77777777" w:rsidR="00FE3457" w:rsidRDefault="005268B9">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1B51B4BB" w14:textId="77777777" w:rsidR="00E2285C" w:rsidRDefault="00730313">
      <w:pPr>
        <w:widowControl w:val="0"/>
        <w:spacing w:beforeAutospacing="1" w:afterAutospacing="1"/>
        <w:rPr>
          <w:rFonts w:cs="Arial"/>
        </w:rPr>
      </w:pPr>
      <w:r>
        <w:rPr>
          <w:rFonts w:cs="Arial"/>
        </w:rPr>
        <w:t xml:space="preserve">The Community Development Department (CDD), on behalf of the City, undertakes and performs different types of monitoring activities </w:t>
      </w:r>
      <w:proofErr w:type="gramStart"/>
      <w:r>
        <w:rPr>
          <w:rFonts w:cs="Arial"/>
        </w:rPr>
        <w:t>in order to</w:t>
      </w:r>
      <w:proofErr w:type="gramEnd"/>
      <w:r>
        <w:rPr>
          <w:rFonts w:cs="Arial"/>
        </w:rPr>
        <w:t xml:space="preserve"> ensure compliance, efficacy and performance of its CDBG and other public programming by its employees, vendors/consultants and subrecipients. Monitoring remains a key responsibility.</w:t>
      </w:r>
    </w:p>
    <w:p w14:paraId="288F3BD5" w14:textId="77777777" w:rsidR="00E2285C" w:rsidRDefault="00730313">
      <w:pPr>
        <w:widowControl w:val="0"/>
        <w:spacing w:beforeAutospacing="1" w:afterAutospacing="1"/>
        <w:rPr>
          <w:rFonts w:cs="Arial"/>
        </w:rPr>
      </w:pPr>
      <w:r>
        <w:rPr>
          <w:rFonts w:cs="Arial"/>
        </w:rPr>
        <w:t>Multiple CDD staff conduct continual 'desk monitoring' through reviews of invoices, reimbursement requests, and IDIS input and timelines.  The Director and Division Director reviewed and approved all invoices jointly in PY24.  Photographs are required for all construction or rehabilitation invoices submitted by contractors.</w:t>
      </w:r>
    </w:p>
    <w:p w14:paraId="19F72250" w14:textId="77777777" w:rsidR="00E2285C" w:rsidRDefault="00730313">
      <w:pPr>
        <w:widowControl w:val="0"/>
        <w:spacing w:beforeAutospacing="1" w:afterAutospacing="1"/>
        <w:rPr>
          <w:rFonts w:cs="Arial"/>
        </w:rPr>
      </w:pPr>
      <w:r>
        <w:rPr>
          <w:rFonts w:cs="Arial"/>
        </w:rPr>
        <w:t>CDD staff routinely conduct on-site monitoring (at least annually) of sub-recipient operations, project sites, and files.  The on-site visit is meant to review progress towards goals, program eligibility, national objectives, outreach, spending schedules, staffing levels, client files, procurement, financial systems, service trends, and program delivery.  Due to uncertainty of the CDBG program at the federal level, PY24 subrecipient on-site monitoring will not occur until Summer 2026.</w:t>
      </w:r>
    </w:p>
    <w:p w14:paraId="38EC18ED" w14:textId="77777777" w:rsidR="00E2285C" w:rsidRDefault="00730313">
      <w:pPr>
        <w:widowControl w:val="0"/>
        <w:spacing w:beforeAutospacing="1" w:afterAutospacing="1"/>
        <w:rPr>
          <w:rFonts w:cs="Arial"/>
        </w:rPr>
      </w:pPr>
      <w:r>
        <w:rPr>
          <w:rFonts w:cs="Arial"/>
        </w:rPr>
        <w:t>The CDD recently hired an outside auditor, Roselli, Clark + Associates, replacing Marcum LLP, to operate as the City's own procured and contracted external auditors, analyzing and testing City fiscal practices, processes, and procedures. There has been tightening of several practices relating to vendor payment, acceptable invoicing standards, grant balances, and grant management, including at the CDD.  For example, Purchase Orders (POs) are developed before an invoice of $10,000 or more is processed.  These</w:t>
      </w:r>
      <w:r>
        <w:rPr>
          <w:rFonts w:cs="Arial"/>
        </w:rPr>
        <w:t xml:space="preserve"> POs are reviewed and approved by the City's Chief Financial Officer (CFO) prior to payment. Internal controls have been implemented, are being constantly reviewed, and are continually practiced.</w:t>
      </w:r>
    </w:p>
    <w:p w14:paraId="548508F9" w14:textId="77777777" w:rsidR="00E2285C" w:rsidRDefault="00730313">
      <w:pPr>
        <w:widowControl w:val="0"/>
        <w:spacing w:beforeAutospacing="1" w:afterAutospacing="1"/>
        <w:rPr>
          <w:rFonts w:cs="Arial"/>
        </w:rPr>
      </w:pPr>
      <w:r>
        <w:rPr>
          <w:rFonts w:cs="Arial"/>
        </w:rPr>
        <w:t xml:space="preserve">An outside auditor is hired by CDD to review audits and certified financial statements submitted by CDBG subrecipients, </w:t>
      </w:r>
      <w:proofErr w:type="gramStart"/>
      <w:r>
        <w:rPr>
          <w:rFonts w:cs="Arial"/>
        </w:rPr>
        <w:t>in order to</w:t>
      </w:r>
      <w:proofErr w:type="gramEnd"/>
      <w:r>
        <w:rPr>
          <w:rFonts w:cs="Arial"/>
        </w:rPr>
        <w:t xml:space="preserve"> see if there are any outstanding issues for the subrecipient to address, or 'red flags' regarding the subrecipient organizations themselves.  CDBG Administrative funds are used to conduct this review of these compiled audits.</w:t>
      </w:r>
    </w:p>
    <w:p w14:paraId="0EB6203C" w14:textId="77777777" w:rsidR="00E2285C" w:rsidRDefault="00730313">
      <w:pPr>
        <w:widowControl w:val="0"/>
        <w:spacing w:beforeAutospacing="1" w:afterAutospacing="1"/>
        <w:rPr>
          <w:rFonts w:cs="Arial"/>
        </w:rPr>
      </w:pPr>
      <w:r>
        <w:rPr>
          <w:rFonts w:cs="Arial"/>
        </w:rPr>
        <w:t>All homeowners who participate in housing rehabilitation (HRCCP) or First-Time Home Buyer activities are subject to intensive review and scrutiny of income-eligibility records, including tax returns, benefit statements and wage reports.</w:t>
      </w:r>
    </w:p>
    <w:p w14:paraId="7BFF6739" w14:textId="77777777" w:rsidR="00E2285C" w:rsidRDefault="00730313">
      <w:pPr>
        <w:widowControl w:val="0"/>
        <w:spacing w:beforeAutospacing="1" w:afterAutospacing="1"/>
        <w:rPr>
          <w:rFonts w:cs="Arial"/>
        </w:rPr>
      </w:pPr>
      <w:r>
        <w:rPr>
          <w:rFonts w:cs="Arial"/>
        </w:rPr>
        <w:t xml:space="preserve">The CDD has made progress in terms of representation of Minority-Owned and Women-Owned Business </w:t>
      </w:r>
      <w:r>
        <w:rPr>
          <w:rFonts w:cs="Arial"/>
        </w:rPr>
        <w:lastRenderedPageBreak/>
        <w:t xml:space="preserve">Enterprises (MBE/WBE) in carrying out its </w:t>
      </w:r>
      <w:proofErr w:type="gramStart"/>
      <w:r>
        <w:rPr>
          <w:rFonts w:cs="Arial"/>
        </w:rPr>
        <w:t>publicly-funded</w:t>
      </w:r>
      <w:proofErr w:type="gramEnd"/>
      <w:r>
        <w:rPr>
          <w:rFonts w:cs="Arial"/>
        </w:rPr>
        <w:t xml:space="preserve"> programs including CDBG.  This includes recruiting MBE/WBE firms off the State registry.  Some minority-led contractors and firms that the City procures do not register on the MBE/WBE lists, despite those benefits.  Multiple environmental remediation and housing rehabilitation contractors (notably electricians) that the City has used in the past Program Year are in this category.  The City continues to fund Latino Business Outreach (IDIS #1443) to in</w:t>
      </w:r>
      <w:r>
        <w:rPr>
          <w:rFonts w:cs="Arial"/>
        </w:rPr>
        <w:t>crease opportunities for minority contractors to work and contract with the City.</w:t>
      </w:r>
    </w:p>
    <w:p w14:paraId="1027F636" w14:textId="77777777" w:rsidR="00E2285C" w:rsidRDefault="00730313">
      <w:pPr>
        <w:widowControl w:val="0"/>
        <w:spacing w:beforeAutospacing="1" w:afterAutospacing="1"/>
        <w:rPr>
          <w:rFonts w:cs="Arial"/>
        </w:rPr>
      </w:pPr>
      <w:r>
        <w:rPr>
          <w:rFonts w:cs="Arial"/>
        </w:rPr>
        <w:t xml:space="preserve">The City adheres to Davis-Bacon wage rate regulations for applicable </w:t>
      </w:r>
      <w:proofErr w:type="gramStart"/>
      <w:r>
        <w:rPr>
          <w:rFonts w:cs="Arial"/>
        </w:rPr>
        <w:t>federally-funded</w:t>
      </w:r>
      <w:proofErr w:type="gramEnd"/>
      <w:r>
        <w:rPr>
          <w:rFonts w:cs="Arial"/>
        </w:rPr>
        <w:t xml:space="preserve"> projects.  Payroll records are examined from contractors before construction invoices are processed for payment.  On-site employee classification wage interviews are being conducted using updated forms and schedules, when required.</w:t>
      </w:r>
      <w:r>
        <w:rPr>
          <w:rFonts w:cs="Arial"/>
          <w:i/>
        </w:rPr>
        <w:br/>
      </w:r>
    </w:p>
    <w:p w14:paraId="681D3CDF" w14:textId="77777777" w:rsidR="00E2285C" w:rsidRDefault="00730313">
      <w:pPr>
        <w:widowControl w:val="0"/>
        <w:spacing w:beforeAutospacing="1" w:afterAutospacing="1"/>
        <w:rPr>
          <w:rFonts w:cs="Arial"/>
        </w:rPr>
      </w:pPr>
      <w:proofErr w:type="gramStart"/>
      <w:r>
        <w:rPr>
          <w:rFonts w:cs="Arial"/>
        </w:rPr>
        <w:t>All of</w:t>
      </w:r>
      <w:proofErr w:type="gramEnd"/>
      <w:r>
        <w:rPr>
          <w:rFonts w:cs="Arial"/>
        </w:rPr>
        <w:t xml:space="preserve"> these efforts, practices and procedures are undertaken to ensure compliance with program requirements and comprehensive planning regulations.</w:t>
      </w:r>
    </w:p>
    <w:p w14:paraId="44B52D40" w14:textId="77777777" w:rsidR="00FE3457" w:rsidRDefault="00FE3457">
      <w:pPr>
        <w:widowControl w:val="0"/>
        <w:rPr>
          <w:rFonts w:cs="Arial"/>
        </w:rPr>
      </w:pPr>
    </w:p>
    <w:p w14:paraId="7595BBDA" w14:textId="77777777" w:rsidR="00FE3457" w:rsidRDefault="00FE3457">
      <w:pPr>
        <w:widowControl w:val="0"/>
        <w:rPr>
          <w:rFonts w:cs="Arial"/>
        </w:rPr>
      </w:pPr>
    </w:p>
    <w:p w14:paraId="0C547E9A" w14:textId="77777777" w:rsidR="00FE3457" w:rsidRDefault="00FE3457">
      <w:pPr>
        <w:widowControl w:val="0"/>
        <w:rPr>
          <w:rFonts w:cs="Arial"/>
        </w:rPr>
      </w:pPr>
    </w:p>
    <w:p w14:paraId="20899CB5" w14:textId="77777777" w:rsidR="00FE3457" w:rsidRDefault="005268B9">
      <w:pPr>
        <w:widowControl w:val="0"/>
        <w:rPr>
          <w:b/>
          <w:sz w:val="24"/>
          <w:szCs w:val="24"/>
        </w:rPr>
      </w:pPr>
      <w:r>
        <w:rPr>
          <w:b/>
          <w:sz w:val="24"/>
          <w:szCs w:val="24"/>
        </w:rPr>
        <w:t>Citizen Participation Plan 91.105(d); 91.115(d)</w:t>
      </w:r>
    </w:p>
    <w:p w14:paraId="5A4D9F86" w14:textId="77777777" w:rsidR="00FE3457" w:rsidRDefault="005268B9">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6EEDB45D" w14:textId="7C4720EC" w:rsidR="00E2285C" w:rsidRDefault="00730313">
      <w:pPr>
        <w:spacing w:beforeAutospacing="1" w:afterAutospacing="1"/>
      </w:pPr>
      <w:r>
        <w:t>A public meeting featuring the Community Affairs Advisory Board (CAAB) was held on March 19, 2026, to review the performance reports for Program Year 2024.  This was followed by a Public Comment Period of greater than 15 days</w:t>
      </w:r>
      <w:r w:rsidR="00527DC2">
        <w:t>, which closed at the end of April 7, 2026.</w:t>
      </w:r>
      <w:r>
        <w:t>  </w:t>
      </w:r>
    </w:p>
    <w:p w14:paraId="302D4813" w14:textId="77777777" w:rsidR="00E2285C" w:rsidRDefault="00730313">
      <w:pPr>
        <w:spacing w:beforeAutospacing="1" w:afterAutospacing="1"/>
      </w:pPr>
      <w:r>
        <w:t xml:space="preserve">There were no public comments </w:t>
      </w:r>
      <w:proofErr w:type="gramStart"/>
      <w:r>
        <w:t>of note regarding</w:t>
      </w:r>
      <w:proofErr w:type="gramEnd"/>
      <w:r>
        <w:t xml:space="preserve"> the Program Year 2024 CAPER.  The CAAB endorsed the Plan and lauded the accomplishments of the Department in undertaking the Annual Plan under extreme federal changes and challenges.  </w:t>
      </w:r>
    </w:p>
    <w:p w14:paraId="5432D725" w14:textId="77777777" w:rsidR="00FE3457" w:rsidRDefault="005268B9">
      <w:pPr>
        <w:rPr>
          <w:b/>
          <w:i/>
          <w:sz w:val="28"/>
          <w:szCs w:val="28"/>
        </w:rPr>
      </w:pPr>
      <w:r>
        <w:rPr>
          <w:b/>
          <w:sz w:val="28"/>
          <w:szCs w:val="28"/>
        </w:rPr>
        <w:t>CR-45 - CDBG 91.520(c)</w:t>
      </w:r>
    </w:p>
    <w:p w14:paraId="3D7482E7" w14:textId="77777777" w:rsidR="00FE3457" w:rsidRDefault="005268B9">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39CEB74D" w14:textId="77777777" w:rsidR="00E2285C" w:rsidRDefault="00730313">
      <w:pPr>
        <w:widowControl w:val="0"/>
        <w:spacing w:beforeAutospacing="1" w:afterAutospacing="1"/>
        <w:rPr>
          <w:rFonts w:cs="Arial"/>
        </w:rPr>
      </w:pPr>
      <w:r>
        <w:rPr>
          <w:rFonts w:cs="Arial"/>
        </w:rPr>
        <w:t xml:space="preserve">This Five Year-Consolidated Plan period (2020-2024), now ending with Program Year 2024, began in the throes of the COVID-19 Pandemic, which altered many goals and objectives   At the end of this 5-Year </w:t>
      </w:r>
      <w:r>
        <w:rPr>
          <w:rFonts w:cs="Arial"/>
        </w:rPr>
        <w:lastRenderedPageBreak/>
        <w:t>period, there are certain changes that the City would make to its community development efforts.</w:t>
      </w:r>
    </w:p>
    <w:p w14:paraId="4A5AE794" w14:textId="77777777" w:rsidR="00E2285C" w:rsidRDefault="00730313">
      <w:pPr>
        <w:widowControl w:val="0"/>
        <w:spacing w:beforeAutospacing="1" w:afterAutospacing="1"/>
        <w:rPr>
          <w:rFonts w:cs="Arial"/>
        </w:rPr>
      </w:pPr>
      <w:r>
        <w:rPr>
          <w:rFonts w:cs="Arial"/>
        </w:rPr>
        <w:t xml:space="preserve">During the past </w:t>
      </w:r>
      <w:proofErr w:type="spellStart"/>
      <w:r>
        <w:rPr>
          <w:rFonts w:cs="Arial"/>
        </w:rPr>
        <w:t>ConPlan</w:t>
      </w:r>
      <w:proofErr w:type="spellEnd"/>
      <w:r>
        <w:rPr>
          <w:rFonts w:cs="Arial"/>
        </w:rPr>
        <w:t xml:space="preserve"> period, the housing crisis in eastern Massachusetts in general and in Haverhill in specific only worsened.  With it, the need to expand housing opportunities for Haverhill's uniquely wide and </w:t>
      </w:r>
      <w:proofErr w:type="gramStart"/>
      <w:r>
        <w:rPr>
          <w:rFonts w:cs="Arial"/>
        </w:rPr>
        <w:t>evenly-distributed</w:t>
      </w:r>
      <w:proofErr w:type="gramEnd"/>
      <w:r>
        <w:rPr>
          <w:rFonts w:cs="Arial"/>
        </w:rPr>
        <w:t xml:space="preserve"> socioeconomic range of residents became even more profound than previously imagined, especially in the increasingly intense housing market.  Future approval and completion of proposed housing developments under consideration will remain a key priority, especially Downtown and along the Merrim</w:t>
      </w:r>
      <w:r>
        <w:rPr>
          <w:rFonts w:cs="Arial"/>
        </w:rPr>
        <w:t xml:space="preserve">ack Riverfront.  </w:t>
      </w:r>
      <w:proofErr w:type="gramStart"/>
      <w:r>
        <w:rPr>
          <w:rFonts w:cs="Arial"/>
        </w:rPr>
        <w:t>A number of</w:t>
      </w:r>
      <w:proofErr w:type="gramEnd"/>
      <w:r>
        <w:rPr>
          <w:rFonts w:cs="Arial"/>
        </w:rPr>
        <w:t xml:space="preserve"> projects have been approved but never </w:t>
      </w:r>
      <w:proofErr w:type="gramStart"/>
      <w:r>
        <w:rPr>
          <w:rFonts w:cs="Arial"/>
        </w:rPr>
        <w:t>built</w:t>
      </w:r>
      <w:proofErr w:type="gramEnd"/>
      <w:r>
        <w:rPr>
          <w:rFonts w:cs="Arial"/>
        </w:rPr>
        <w:t xml:space="preserve">.  </w:t>
      </w:r>
    </w:p>
    <w:p w14:paraId="1C72F41B" w14:textId="77777777" w:rsidR="00E2285C" w:rsidRDefault="00730313">
      <w:pPr>
        <w:widowControl w:val="0"/>
        <w:spacing w:beforeAutospacing="1" w:afterAutospacing="1"/>
        <w:rPr>
          <w:rFonts w:cs="Arial"/>
        </w:rPr>
      </w:pPr>
      <w:r>
        <w:rPr>
          <w:rFonts w:cs="Arial"/>
        </w:rPr>
        <w:t xml:space="preserve">Ongoing inflationary pressures from tariffs, supply chain issues, labor shortages, higher interest rates, health care increases and other factors have increased the costs of housing construction.  As a result, the percentage of income that Haverhill residents spend on housing continues to soar, placing inordinate strain and pressures other necessities (food, clothing, fuel, furniture, health care, etc.).  Housing price increases have compelled the City to loosen restrictions on its CDBG-funded First-Time </w:t>
      </w:r>
      <w:proofErr w:type="spellStart"/>
      <w:r>
        <w:rPr>
          <w:rFonts w:cs="Arial"/>
        </w:rPr>
        <w:t>HomeBuyer</w:t>
      </w:r>
      <w:proofErr w:type="spellEnd"/>
      <w:r>
        <w:rPr>
          <w:rFonts w:cs="Arial"/>
        </w:rPr>
        <w:t xml:space="preserve"> program, as home prices in Haverhill generally exceed what a household earning below 80% of the Area Median Income (AMI) can generally afford.</w:t>
      </w:r>
    </w:p>
    <w:p w14:paraId="010B7366" w14:textId="77777777" w:rsidR="00E2285C" w:rsidRDefault="00730313">
      <w:pPr>
        <w:widowControl w:val="0"/>
        <w:spacing w:beforeAutospacing="1" w:afterAutospacing="1"/>
        <w:rPr>
          <w:rFonts w:cs="Arial"/>
        </w:rPr>
      </w:pPr>
      <w:r>
        <w:rPr>
          <w:rFonts w:cs="Arial"/>
        </w:rPr>
        <w:t>Community needs shift from year to year.  Program Year 2024 experienced an uptick in homelessness, mental illness, utility shutoffs and store closings, for example.  While the situation has improved, youth gang activity and fentanyl and opioid overdoses still are worth dedicated attention as policy priorities.</w:t>
      </w:r>
    </w:p>
    <w:p w14:paraId="2F56BD63" w14:textId="77777777" w:rsidR="00E2285C" w:rsidRDefault="00730313">
      <w:pPr>
        <w:widowControl w:val="0"/>
        <w:spacing w:beforeAutospacing="1" w:afterAutospacing="1"/>
        <w:rPr>
          <w:rFonts w:cs="Arial"/>
        </w:rPr>
      </w:pPr>
      <w:r>
        <w:rPr>
          <w:rFonts w:cs="Arial"/>
        </w:rPr>
        <w:t>The effects of climate change, including floods, fires, droughts, air quality issues and extreme weather, create stress on the insurance industry as well as state and local governments, businesses and social services.  The need to eliminate the dam on the Little River to redevelop the Pentucket Mills site on Stevens Street would have a profound impact on the Target Area over the next few years, as this site links the Lower Acre, Mount Washington and Hilldale/Broadway neighborhoods together.</w:t>
      </w:r>
    </w:p>
    <w:p w14:paraId="2DAC54AF" w14:textId="77777777" w:rsidR="00E2285C" w:rsidRDefault="00730313">
      <w:pPr>
        <w:widowControl w:val="0"/>
        <w:spacing w:beforeAutospacing="1" w:afterAutospacing="1"/>
        <w:rPr>
          <w:rFonts w:cs="Arial"/>
        </w:rPr>
      </w:pPr>
      <w:r>
        <w:rPr>
          <w:rFonts w:cs="Arial"/>
        </w:rPr>
        <w:t>On a positive note, the City's attainment of a Lead Hazards Reduction Capacity Building grant, utilizing CDBG as match, is affecting the City's program objectives, outreach strategies and plans going forward.  This Lead grant impacts the strategy of how housing rehabilitation funds are used for leverage and grant match.</w:t>
      </w:r>
    </w:p>
    <w:p w14:paraId="47399B1F" w14:textId="77777777" w:rsidR="00FE3457" w:rsidRDefault="005268B9">
      <w:pPr>
        <w:widowControl w:val="0"/>
        <w:rPr>
          <w:b/>
          <w:sz w:val="24"/>
          <w:szCs w:val="24"/>
        </w:rPr>
      </w:pPr>
      <w:r>
        <w:rPr>
          <w:b/>
          <w:sz w:val="24"/>
          <w:szCs w:val="24"/>
        </w:rPr>
        <w:t>Does this Jurisdiction have any open Brownfields Economic Development Initiative (BEDI) grants?</w:t>
      </w:r>
    </w:p>
    <w:p w14:paraId="0800D8C8" w14:textId="77777777" w:rsidR="00E2285C" w:rsidRDefault="00730313">
      <w:pPr>
        <w:widowControl w:val="0"/>
        <w:spacing w:beforeAutospacing="1" w:afterAutospacing="1"/>
        <w:rPr>
          <w:rFonts w:cs="Arial"/>
        </w:rPr>
      </w:pPr>
      <w:r>
        <w:rPr>
          <w:rFonts w:cs="Arial"/>
        </w:rPr>
        <w:t>No</w:t>
      </w:r>
    </w:p>
    <w:p w14:paraId="23892AA7" w14:textId="77777777" w:rsidR="00FE3457" w:rsidRDefault="005268B9">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603612C5" w14:textId="77777777" w:rsidR="00FE3457" w:rsidRDefault="00FE3457">
      <w:pPr>
        <w:widowControl w:val="0"/>
        <w:rPr>
          <w:rFonts w:cs="Arial"/>
        </w:rPr>
      </w:pPr>
    </w:p>
    <w:p w14:paraId="157B020F" w14:textId="77777777" w:rsidR="00FE3457" w:rsidRDefault="00FE3457"/>
    <w:p w14:paraId="2B0AC1E8" w14:textId="77777777" w:rsidR="00FE3457" w:rsidRDefault="005268B9">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56BDAD8F" w14:textId="77777777" w:rsidR="00FE3457" w:rsidRDefault="005268B9">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45B81D57" w14:textId="77777777" w:rsidR="00E2285C" w:rsidRDefault="00730313">
      <w:pPr>
        <w:widowControl w:val="0"/>
        <w:spacing w:beforeAutospacing="1" w:afterAutospacing="1"/>
        <w:rPr>
          <w:rFonts w:cs="Arial"/>
        </w:rPr>
      </w:pPr>
      <w:r>
        <w:rPr>
          <w:rFonts w:cs="Arial"/>
        </w:rPr>
        <w:t>This Five Year-Consolidated Plan period (2020-2024), now ending with Program Year 2024, began in the throes of the COVID-19 Pandemic, which altered many goals and objectives   At the end of this 5-Year period, there are certain changes that the City would make to its community development efforts.</w:t>
      </w:r>
    </w:p>
    <w:p w14:paraId="434A7D01" w14:textId="77777777" w:rsidR="00E2285C" w:rsidRDefault="00730313">
      <w:pPr>
        <w:widowControl w:val="0"/>
        <w:spacing w:beforeAutospacing="1" w:afterAutospacing="1"/>
        <w:rPr>
          <w:rFonts w:cs="Arial"/>
        </w:rPr>
      </w:pPr>
      <w:r>
        <w:rPr>
          <w:rFonts w:cs="Arial"/>
        </w:rPr>
        <w:t xml:space="preserve">During the past </w:t>
      </w:r>
      <w:proofErr w:type="spellStart"/>
      <w:r>
        <w:rPr>
          <w:rFonts w:cs="Arial"/>
        </w:rPr>
        <w:t>ConPlan</w:t>
      </w:r>
      <w:proofErr w:type="spellEnd"/>
      <w:r>
        <w:rPr>
          <w:rFonts w:cs="Arial"/>
        </w:rPr>
        <w:t xml:space="preserve"> period, the housing crisis in eastern Massachusetts in general and in Haverhill in specific only worsened.  With it, the need to expand housing opportunities for Haverhill's uniquely wide and </w:t>
      </w:r>
      <w:proofErr w:type="gramStart"/>
      <w:r>
        <w:rPr>
          <w:rFonts w:cs="Arial"/>
        </w:rPr>
        <w:t>evenly-distributed</w:t>
      </w:r>
      <w:proofErr w:type="gramEnd"/>
      <w:r>
        <w:rPr>
          <w:rFonts w:cs="Arial"/>
        </w:rPr>
        <w:t xml:space="preserve"> socioeconomic range of residents became even more profound than previously imagined, especially in the increasingly intense housing market.  Future approval and completion of proposed housing developments under consideration will remain a key priority, especially Downtown and along the Merrim</w:t>
      </w:r>
      <w:r>
        <w:rPr>
          <w:rFonts w:cs="Arial"/>
        </w:rPr>
        <w:t xml:space="preserve">ack Riverfront.  </w:t>
      </w:r>
      <w:proofErr w:type="gramStart"/>
      <w:r>
        <w:rPr>
          <w:rFonts w:cs="Arial"/>
        </w:rPr>
        <w:t>A number of</w:t>
      </w:r>
      <w:proofErr w:type="gramEnd"/>
      <w:r>
        <w:rPr>
          <w:rFonts w:cs="Arial"/>
        </w:rPr>
        <w:t xml:space="preserve"> projects have been approved but never </w:t>
      </w:r>
      <w:proofErr w:type="gramStart"/>
      <w:r>
        <w:rPr>
          <w:rFonts w:cs="Arial"/>
        </w:rPr>
        <w:t>built</w:t>
      </w:r>
      <w:proofErr w:type="gramEnd"/>
      <w:r>
        <w:rPr>
          <w:rFonts w:cs="Arial"/>
        </w:rPr>
        <w:t xml:space="preserve">.  </w:t>
      </w:r>
    </w:p>
    <w:p w14:paraId="1BAA6682" w14:textId="77777777" w:rsidR="00E2285C" w:rsidRDefault="00730313">
      <w:pPr>
        <w:widowControl w:val="0"/>
        <w:spacing w:beforeAutospacing="1" w:afterAutospacing="1"/>
        <w:rPr>
          <w:rFonts w:cs="Arial"/>
        </w:rPr>
      </w:pPr>
      <w:r>
        <w:rPr>
          <w:rFonts w:cs="Arial"/>
        </w:rPr>
        <w:t xml:space="preserve">Ongoing inflationary pressures from tariffs, supply chain issues, labor shortages, higher interest rates, health care increases and other factors have increased the costs of housing construction.  As a result, the percentage of income that Haverhill residents spend on housing continues to soar, placing inordinate strain and pressures other necessities (food, clothing, fuel, furniture, health care, etc.).  Housing price increases have compelled the City to loosen restrictions on its CDBG-funded First-Time </w:t>
      </w:r>
      <w:proofErr w:type="spellStart"/>
      <w:r>
        <w:rPr>
          <w:rFonts w:cs="Arial"/>
        </w:rPr>
        <w:t>HomeBuyer</w:t>
      </w:r>
      <w:proofErr w:type="spellEnd"/>
      <w:r>
        <w:rPr>
          <w:rFonts w:cs="Arial"/>
        </w:rPr>
        <w:t xml:space="preserve"> program, as home prices in Haverhill generally exceed what a household earning below 80% of the Area Median Income (AMI) can generally afford.</w:t>
      </w:r>
    </w:p>
    <w:p w14:paraId="732B4637" w14:textId="77777777" w:rsidR="00E2285C" w:rsidRDefault="00730313">
      <w:pPr>
        <w:widowControl w:val="0"/>
        <w:spacing w:beforeAutospacing="1" w:afterAutospacing="1"/>
        <w:rPr>
          <w:rFonts w:cs="Arial"/>
        </w:rPr>
      </w:pPr>
      <w:r>
        <w:rPr>
          <w:rFonts w:cs="Arial"/>
        </w:rPr>
        <w:t>Community needs shift from year to year.  Program Year 2024 experienced an uptick in homelessness, mental illness, utility shutoffs and store closings, for example.  While the situation has improved, youth gang activity and fentanyl and opioid overdoses still are worth dedicated attention as policy priorities.</w:t>
      </w:r>
    </w:p>
    <w:p w14:paraId="5E31A6A3" w14:textId="77777777" w:rsidR="00E2285C" w:rsidRDefault="00730313">
      <w:pPr>
        <w:widowControl w:val="0"/>
        <w:spacing w:beforeAutospacing="1" w:afterAutospacing="1"/>
        <w:rPr>
          <w:rFonts w:cs="Arial"/>
        </w:rPr>
      </w:pPr>
      <w:r>
        <w:rPr>
          <w:rFonts w:cs="Arial"/>
        </w:rPr>
        <w:t>The effects of climate change, including floods, fires, droughts, air quality issues and extreme weather, create stress on the insurance industry as well as state and local governments, businesses and social services.  The need to eliminate the dam on the Little River to redevelop the Pentucket Mills site on Stevens Street would have a profound impact on the Target Area over the next few years, as this site links the Lower Acre, Mount Washington and Hilldale/Broadway neighborhoods together.</w:t>
      </w:r>
    </w:p>
    <w:p w14:paraId="31D2A264" w14:textId="77777777" w:rsidR="00E2285C" w:rsidRDefault="00730313">
      <w:pPr>
        <w:widowControl w:val="0"/>
        <w:spacing w:beforeAutospacing="1" w:afterAutospacing="1"/>
        <w:rPr>
          <w:rFonts w:cs="Arial"/>
        </w:rPr>
      </w:pPr>
      <w:r>
        <w:rPr>
          <w:rFonts w:cs="Arial"/>
        </w:rPr>
        <w:t>On a positive note, the City's attainment of a Lead Hazards Reduction Capacity Building grant, utilizing CDBG as match, is affecting the City's program objectives, outreach strategies and plans going forward.  This Lead grant impacts the strategy of how housing rehabilitation funds are used for leverage and grant match.</w:t>
      </w:r>
    </w:p>
    <w:p w14:paraId="78ACB4BC" w14:textId="77777777" w:rsidR="00FE3457" w:rsidRDefault="005268B9">
      <w:pPr>
        <w:widowControl w:val="0"/>
        <w:rPr>
          <w:b/>
          <w:sz w:val="24"/>
          <w:szCs w:val="24"/>
        </w:rPr>
      </w:pPr>
      <w:r>
        <w:rPr>
          <w:b/>
          <w:sz w:val="24"/>
          <w:szCs w:val="24"/>
        </w:rPr>
        <w:t>Does this Jurisdiction have any open Brownfields Economic Development Initiative (BEDI) grants?</w:t>
      </w:r>
    </w:p>
    <w:p w14:paraId="149E8B68" w14:textId="77777777" w:rsidR="00E2285C" w:rsidRDefault="00730313">
      <w:pPr>
        <w:widowControl w:val="0"/>
        <w:spacing w:beforeAutospacing="1" w:afterAutospacing="1"/>
        <w:rPr>
          <w:rFonts w:cs="Arial"/>
        </w:rPr>
      </w:pPr>
      <w:r>
        <w:rPr>
          <w:rFonts w:cs="Arial"/>
        </w:rPr>
        <w:lastRenderedPageBreak/>
        <w:t>No</w:t>
      </w:r>
    </w:p>
    <w:p w14:paraId="2156D90B" w14:textId="77777777" w:rsidR="00FE3457" w:rsidRDefault="005268B9">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1BD140AF" w14:textId="77777777" w:rsidR="00FE3457" w:rsidRDefault="00FE3457">
      <w:pPr>
        <w:widowControl w:val="0"/>
        <w:rPr>
          <w:rFonts w:cs="Arial"/>
        </w:rPr>
      </w:pPr>
    </w:p>
    <w:p w14:paraId="45AB2A34" w14:textId="77777777" w:rsidR="00FE3457" w:rsidRDefault="00FE3457"/>
    <w:p w14:paraId="527EE24F" w14:textId="77777777" w:rsidR="00FE3457" w:rsidRDefault="00FE3457"/>
    <w:p w14:paraId="68BCCD3C" w14:textId="77777777" w:rsidR="00FE3457" w:rsidRDefault="005268B9">
      <w:pPr>
        <w:pStyle w:val="Heading2"/>
        <w:keepNext w:val="0"/>
        <w:pageBreakBefore/>
        <w:widowControl w:val="0"/>
        <w:rPr>
          <w:rFonts w:ascii="Calibri" w:hAnsi="Calibri"/>
          <w:i w:val="0"/>
        </w:rPr>
      </w:pPr>
      <w:r>
        <w:rPr>
          <w:rFonts w:ascii="Calibri" w:hAnsi="Calibri"/>
          <w:i w:val="0"/>
        </w:rPr>
        <w:lastRenderedPageBreak/>
        <w:t>CR-58 – Section 3</w:t>
      </w:r>
    </w:p>
    <w:p w14:paraId="2E1A5D26" w14:textId="77777777" w:rsidR="00FE3457" w:rsidRDefault="005268B9">
      <w:pPr>
        <w:widowControl w:val="0"/>
        <w:rPr>
          <w:b/>
          <w:sz w:val="24"/>
          <w:szCs w:val="24"/>
        </w:rPr>
      </w:pPr>
      <w:r>
        <w:rPr>
          <w:b/>
          <w:sz w:val="24"/>
          <w:szCs w:val="24"/>
        </w:rPr>
        <w:t xml:space="preserve">Identify the number of individuals assisted and the types of assistance provided </w:t>
      </w:r>
    </w:p>
    <w:p w14:paraId="4474594A" w14:textId="77777777" w:rsidR="00FE3457" w:rsidRDefault="00FE3457">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FE3457" w14:paraId="4AE5EB2C" w14:textId="77777777">
        <w:trPr>
          <w:cantSplit/>
        </w:trPr>
        <w:tc>
          <w:tcPr>
            <w:tcW w:w="5490" w:type="dxa"/>
          </w:tcPr>
          <w:p w14:paraId="3E924798" w14:textId="77777777" w:rsidR="00FE3457" w:rsidRDefault="005268B9">
            <w:pPr>
              <w:keepNext/>
              <w:widowControl w:val="0"/>
              <w:tabs>
                <w:tab w:val="left" w:pos="2070"/>
              </w:tabs>
              <w:spacing w:after="0" w:line="240" w:lineRule="auto"/>
              <w:ind w:right="162"/>
              <w:jc w:val="center"/>
              <w:rPr>
                <w:b/>
              </w:rPr>
            </w:pPr>
            <w:r>
              <w:rPr>
                <w:b/>
              </w:rPr>
              <w:t>Total Labor Hours</w:t>
            </w:r>
          </w:p>
        </w:tc>
        <w:tc>
          <w:tcPr>
            <w:tcW w:w="810" w:type="dxa"/>
          </w:tcPr>
          <w:p w14:paraId="0CD178A6" w14:textId="77777777" w:rsidR="00FE3457" w:rsidRDefault="005268B9">
            <w:pPr>
              <w:keepNext/>
              <w:widowControl w:val="0"/>
              <w:spacing w:after="0" w:line="240" w:lineRule="auto"/>
              <w:jc w:val="center"/>
              <w:rPr>
                <w:b/>
              </w:rPr>
            </w:pPr>
            <w:r>
              <w:rPr>
                <w:b/>
              </w:rPr>
              <w:t>CDBG</w:t>
            </w:r>
          </w:p>
        </w:tc>
        <w:tc>
          <w:tcPr>
            <w:tcW w:w="900" w:type="dxa"/>
          </w:tcPr>
          <w:p w14:paraId="5B0E3765" w14:textId="77777777" w:rsidR="00FE3457" w:rsidRDefault="005268B9">
            <w:pPr>
              <w:keepNext/>
              <w:widowControl w:val="0"/>
              <w:spacing w:after="0" w:line="240" w:lineRule="auto"/>
              <w:jc w:val="center"/>
              <w:rPr>
                <w:b/>
              </w:rPr>
            </w:pPr>
            <w:r>
              <w:rPr>
                <w:b/>
              </w:rPr>
              <w:t>HOME</w:t>
            </w:r>
          </w:p>
        </w:tc>
        <w:tc>
          <w:tcPr>
            <w:tcW w:w="720" w:type="dxa"/>
          </w:tcPr>
          <w:p w14:paraId="4B6FF548" w14:textId="77777777" w:rsidR="00FE3457" w:rsidRDefault="005268B9">
            <w:pPr>
              <w:keepNext/>
              <w:widowControl w:val="0"/>
              <w:spacing w:after="0" w:line="240" w:lineRule="auto"/>
              <w:rPr>
                <w:b/>
              </w:rPr>
            </w:pPr>
            <w:r>
              <w:rPr>
                <w:b/>
              </w:rPr>
              <w:t>ESG</w:t>
            </w:r>
          </w:p>
        </w:tc>
        <w:tc>
          <w:tcPr>
            <w:tcW w:w="990" w:type="dxa"/>
          </w:tcPr>
          <w:p w14:paraId="2121B1F6" w14:textId="77777777" w:rsidR="00FE3457" w:rsidRDefault="005268B9">
            <w:pPr>
              <w:keepNext/>
              <w:widowControl w:val="0"/>
              <w:spacing w:after="0" w:line="240" w:lineRule="auto"/>
              <w:jc w:val="center"/>
              <w:rPr>
                <w:b/>
              </w:rPr>
            </w:pPr>
            <w:r>
              <w:rPr>
                <w:b/>
              </w:rPr>
              <w:t>HOPWA</w:t>
            </w:r>
          </w:p>
        </w:tc>
        <w:tc>
          <w:tcPr>
            <w:tcW w:w="720" w:type="dxa"/>
          </w:tcPr>
          <w:p w14:paraId="24B4E5F0" w14:textId="77777777" w:rsidR="00FE3457" w:rsidRDefault="005268B9">
            <w:pPr>
              <w:keepNext/>
              <w:widowControl w:val="0"/>
              <w:spacing w:after="0" w:line="240" w:lineRule="auto"/>
              <w:jc w:val="center"/>
              <w:rPr>
                <w:b/>
              </w:rPr>
            </w:pPr>
            <w:r>
              <w:rPr>
                <w:b/>
              </w:rPr>
              <w:t>HTF</w:t>
            </w:r>
          </w:p>
        </w:tc>
      </w:tr>
      <w:tr w:rsidR="00E2285C" w14:paraId="2E417B6F" w14:textId="77777777">
        <w:trPr>
          <w:cantSplit/>
        </w:trPr>
        <w:tc>
          <w:tcPr>
            <w:tcW w:w="5335" w:type="dxa"/>
            <w:vAlign w:val="center"/>
          </w:tcPr>
          <w:p w14:paraId="717BDFA8" w14:textId="77777777" w:rsidR="00E2285C" w:rsidRDefault="00730313">
            <w:pPr>
              <w:spacing w:beforeAutospacing="1" w:afterAutospacing="1"/>
            </w:pPr>
            <w:r>
              <w:rPr>
                <w:rFonts w:ascii="Arial" w:hAnsi="Arial"/>
                <w:color w:val="25396E"/>
                <w:sz w:val="16"/>
              </w:rPr>
              <w:t>Total Number of Activities</w:t>
            </w:r>
          </w:p>
        </w:tc>
        <w:tc>
          <w:tcPr>
            <w:tcW w:w="793" w:type="dxa"/>
            <w:vAlign w:val="center"/>
          </w:tcPr>
          <w:p w14:paraId="384026B8" w14:textId="77777777" w:rsidR="00E2285C" w:rsidRDefault="00730313">
            <w:pPr>
              <w:spacing w:beforeAutospacing="1" w:afterAutospacing="1"/>
              <w:jc w:val="right"/>
            </w:pPr>
            <w:r>
              <w:rPr>
                <w:rFonts w:ascii="Arial" w:hAnsi="Arial"/>
                <w:color w:val="000000"/>
                <w:sz w:val="16"/>
              </w:rPr>
              <w:t>1</w:t>
            </w:r>
          </w:p>
        </w:tc>
        <w:tc>
          <w:tcPr>
            <w:tcW w:w="881" w:type="dxa"/>
            <w:vAlign w:val="center"/>
          </w:tcPr>
          <w:p w14:paraId="101A2FE5" w14:textId="77777777" w:rsidR="00E2285C" w:rsidRDefault="00730313">
            <w:pPr>
              <w:spacing w:beforeAutospacing="1" w:afterAutospacing="1"/>
              <w:jc w:val="right"/>
            </w:pPr>
            <w:r>
              <w:rPr>
                <w:rFonts w:ascii="Arial" w:hAnsi="Arial"/>
                <w:color w:val="000000"/>
                <w:sz w:val="16"/>
              </w:rPr>
              <w:t>0</w:t>
            </w:r>
          </w:p>
        </w:tc>
        <w:tc>
          <w:tcPr>
            <w:tcW w:w="706" w:type="dxa"/>
            <w:vAlign w:val="center"/>
          </w:tcPr>
          <w:p w14:paraId="57AC2FDE" w14:textId="77777777" w:rsidR="00E2285C" w:rsidRDefault="00730313">
            <w:pPr>
              <w:spacing w:beforeAutospacing="1" w:afterAutospacing="1"/>
              <w:jc w:val="right"/>
            </w:pPr>
            <w:r>
              <w:rPr>
                <w:rFonts w:ascii="Arial" w:hAnsi="Arial"/>
                <w:color w:val="000000"/>
                <w:sz w:val="16"/>
              </w:rPr>
              <w:t>0</w:t>
            </w:r>
          </w:p>
        </w:tc>
        <w:tc>
          <w:tcPr>
            <w:tcW w:w="968" w:type="dxa"/>
            <w:vAlign w:val="center"/>
          </w:tcPr>
          <w:p w14:paraId="03B54306" w14:textId="77777777" w:rsidR="00E2285C" w:rsidRDefault="00730313">
            <w:pPr>
              <w:spacing w:beforeAutospacing="1" w:afterAutospacing="1"/>
              <w:jc w:val="right"/>
            </w:pPr>
            <w:r>
              <w:rPr>
                <w:rFonts w:ascii="Arial" w:hAnsi="Arial"/>
                <w:color w:val="000000"/>
                <w:sz w:val="16"/>
              </w:rPr>
              <w:t>0</w:t>
            </w:r>
          </w:p>
        </w:tc>
        <w:tc>
          <w:tcPr>
            <w:tcW w:w="706" w:type="dxa"/>
            <w:vAlign w:val="center"/>
          </w:tcPr>
          <w:p w14:paraId="5BD8FBD2" w14:textId="77777777" w:rsidR="00E2285C" w:rsidRDefault="00730313">
            <w:pPr>
              <w:spacing w:beforeAutospacing="1" w:afterAutospacing="1"/>
              <w:jc w:val="right"/>
            </w:pPr>
            <w:r>
              <w:rPr>
                <w:rFonts w:ascii="Arial" w:hAnsi="Arial"/>
                <w:color w:val="000000"/>
                <w:sz w:val="16"/>
              </w:rPr>
              <w:t>0</w:t>
            </w:r>
          </w:p>
        </w:tc>
      </w:tr>
      <w:tr w:rsidR="00E2285C" w14:paraId="6D019E08" w14:textId="77777777">
        <w:trPr>
          <w:cantSplit/>
        </w:trPr>
        <w:tc>
          <w:tcPr>
            <w:tcW w:w="5335" w:type="dxa"/>
            <w:vAlign w:val="center"/>
          </w:tcPr>
          <w:p w14:paraId="21292A7E" w14:textId="77777777" w:rsidR="00E2285C" w:rsidRDefault="00730313">
            <w:pPr>
              <w:spacing w:beforeAutospacing="1" w:afterAutospacing="1"/>
            </w:pPr>
            <w:r>
              <w:rPr>
                <w:rFonts w:ascii="Arial" w:hAnsi="Arial"/>
                <w:color w:val="25396E"/>
                <w:sz w:val="16"/>
              </w:rPr>
              <w:t>Total Labor Hours</w:t>
            </w:r>
          </w:p>
        </w:tc>
        <w:tc>
          <w:tcPr>
            <w:tcW w:w="793" w:type="dxa"/>
            <w:vAlign w:val="center"/>
          </w:tcPr>
          <w:p w14:paraId="434FDD18" w14:textId="77777777" w:rsidR="00E2285C" w:rsidRDefault="00730313">
            <w:pPr>
              <w:spacing w:beforeAutospacing="1" w:afterAutospacing="1"/>
              <w:jc w:val="right"/>
            </w:pPr>
            <w:r>
              <w:rPr>
                <w:rFonts w:ascii="Arial" w:hAnsi="Arial"/>
                <w:color w:val="000000"/>
                <w:sz w:val="16"/>
              </w:rPr>
              <w:t>18</w:t>
            </w:r>
          </w:p>
        </w:tc>
        <w:tc>
          <w:tcPr>
            <w:tcW w:w="881" w:type="dxa"/>
            <w:vAlign w:val="center"/>
          </w:tcPr>
          <w:p w14:paraId="69E1B9D5"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3A31199"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71E6DFA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11F68BB" w14:textId="77777777" w:rsidR="00E2285C" w:rsidRDefault="00730313">
            <w:pPr>
              <w:spacing w:beforeAutospacing="1" w:afterAutospacing="1"/>
              <w:jc w:val="right"/>
            </w:pPr>
            <w:r>
              <w:rPr>
                <w:rFonts w:ascii="Arial" w:hAnsi="Arial"/>
                <w:color w:val="000000"/>
                <w:sz w:val="16"/>
              </w:rPr>
              <w:t xml:space="preserve"> </w:t>
            </w:r>
          </w:p>
        </w:tc>
      </w:tr>
      <w:tr w:rsidR="00E2285C" w14:paraId="4F841203" w14:textId="77777777">
        <w:trPr>
          <w:cantSplit/>
        </w:trPr>
        <w:tc>
          <w:tcPr>
            <w:tcW w:w="5335" w:type="dxa"/>
            <w:vAlign w:val="center"/>
          </w:tcPr>
          <w:p w14:paraId="72187969" w14:textId="77777777" w:rsidR="00E2285C" w:rsidRDefault="00730313">
            <w:pPr>
              <w:spacing w:beforeAutospacing="1" w:afterAutospacing="1"/>
            </w:pPr>
            <w:r>
              <w:rPr>
                <w:rFonts w:ascii="Arial" w:hAnsi="Arial"/>
                <w:color w:val="25396E"/>
                <w:sz w:val="16"/>
              </w:rPr>
              <w:t>Total Section 3 Worker Hours</w:t>
            </w:r>
          </w:p>
        </w:tc>
        <w:tc>
          <w:tcPr>
            <w:tcW w:w="793" w:type="dxa"/>
            <w:vAlign w:val="center"/>
          </w:tcPr>
          <w:p w14:paraId="2FF6AF8D" w14:textId="77777777" w:rsidR="00E2285C" w:rsidRDefault="00730313">
            <w:pPr>
              <w:spacing w:beforeAutospacing="1" w:afterAutospacing="1"/>
              <w:jc w:val="right"/>
            </w:pPr>
            <w:r>
              <w:rPr>
                <w:rFonts w:ascii="Arial" w:hAnsi="Arial"/>
                <w:color w:val="000000"/>
                <w:sz w:val="16"/>
              </w:rPr>
              <w:t>0</w:t>
            </w:r>
          </w:p>
        </w:tc>
        <w:tc>
          <w:tcPr>
            <w:tcW w:w="881" w:type="dxa"/>
            <w:vAlign w:val="center"/>
          </w:tcPr>
          <w:p w14:paraId="25B9782F"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744733F"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78061F5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DEE06B5" w14:textId="77777777" w:rsidR="00E2285C" w:rsidRDefault="00730313">
            <w:pPr>
              <w:spacing w:beforeAutospacing="1" w:afterAutospacing="1"/>
              <w:jc w:val="right"/>
            </w:pPr>
            <w:r>
              <w:rPr>
                <w:rFonts w:ascii="Arial" w:hAnsi="Arial"/>
                <w:color w:val="000000"/>
                <w:sz w:val="16"/>
              </w:rPr>
              <w:t xml:space="preserve"> </w:t>
            </w:r>
          </w:p>
        </w:tc>
      </w:tr>
      <w:tr w:rsidR="00E2285C" w14:paraId="5A5CCB05" w14:textId="77777777">
        <w:trPr>
          <w:cantSplit/>
        </w:trPr>
        <w:tc>
          <w:tcPr>
            <w:tcW w:w="5335" w:type="dxa"/>
            <w:vAlign w:val="center"/>
          </w:tcPr>
          <w:p w14:paraId="18B3E924" w14:textId="77777777" w:rsidR="00E2285C" w:rsidRDefault="00730313">
            <w:pPr>
              <w:spacing w:beforeAutospacing="1" w:afterAutospacing="1"/>
            </w:pPr>
            <w:r>
              <w:rPr>
                <w:rFonts w:ascii="Arial" w:hAnsi="Arial"/>
                <w:color w:val="25396E"/>
                <w:sz w:val="16"/>
              </w:rPr>
              <w:t>Total Targeted Section 3 Worker Hours</w:t>
            </w:r>
          </w:p>
        </w:tc>
        <w:tc>
          <w:tcPr>
            <w:tcW w:w="793" w:type="dxa"/>
            <w:vAlign w:val="center"/>
          </w:tcPr>
          <w:p w14:paraId="4903BAB5" w14:textId="77777777" w:rsidR="00E2285C" w:rsidRDefault="00730313">
            <w:pPr>
              <w:spacing w:beforeAutospacing="1" w:afterAutospacing="1"/>
              <w:jc w:val="right"/>
            </w:pPr>
            <w:r>
              <w:rPr>
                <w:rFonts w:ascii="Arial" w:hAnsi="Arial"/>
                <w:color w:val="000000"/>
                <w:sz w:val="16"/>
              </w:rPr>
              <w:t>0</w:t>
            </w:r>
          </w:p>
        </w:tc>
        <w:tc>
          <w:tcPr>
            <w:tcW w:w="881" w:type="dxa"/>
            <w:vAlign w:val="center"/>
          </w:tcPr>
          <w:p w14:paraId="2F1E872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1347F85"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160CF7A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A86399C" w14:textId="77777777" w:rsidR="00E2285C" w:rsidRDefault="00730313">
            <w:pPr>
              <w:spacing w:beforeAutospacing="1" w:afterAutospacing="1"/>
              <w:jc w:val="right"/>
            </w:pPr>
            <w:r>
              <w:rPr>
                <w:rFonts w:ascii="Arial" w:hAnsi="Arial"/>
                <w:color w:val="000000"/>
                <w:sz w:val="16"/>
              </w:rPr>
              <w:t xml:space="preserve"> </w:t>
            </w:r>
          </w:p>
        </w:tc>
      </w:tr>
    </w:tbl>
    <w:p w14:paraId="34E5653F"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5F69E0FA" w14:textId="77777777" w:rsidR="00FE3457" w:rsidRDefault="00FE3457">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FE3457" w14:paraId="5C74141D" w14:textId="77777777">
        <w:trPr>
          <w:cantSplit/>
        </w:trPr>
        <w:tc>
          <w:tcPr>
            <w:tcW w:w="5490" w:type="dxa"/>
          </w:tcPr>
          <w:p w14:paraId="7BE8AE68" w14:textId="77777777" w:rsidR="00FE3457" w:rsidRDefault="005268B9">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2877D8F3" w14:textId="77777777" w:rsidR="00FE3457" w:rsidRDefault="005268B9">
            <w:pPr>
              <w:keepNext/>
              <w:widowControl w:val="0"/>
              <w:spacing w:after="0" w:line="240" w:lineRule="auto"/>
              <w:jc w:val="center"/>
              <w:rPr>
                <w:b/>
              </w:rPr>
            </w:pPr>
            <w:r>
              <w:rPr>
                <w:b/>
              </w:rPr>
              <w:t>CDBG</w:t>
            </w:r>
          </w:p>
        </w:tc>
        <w:tc>
          <w:tcPr>
            <w:tcW w:w="900" w:type="dxa"/>
          </w:tcPr>
          <w:p w14:paraId="18CA9DD9" w14:textId="77777777" w:rsidR="00FE3457" w:rsidRDefault="005268B9">
            <w:pPr>
              <w:keepNext/>
              <w:widowControl w:val="0"/>
              <w:spacing w:after="0" w:line="240" w:lineRule="auto"/>
              <w:jc w:val="center"/>
              <w:rPr>
                <w:b/>
              </w:rPr>
            </w:pPr>
            <w:r>
              <w:rPr>
                <w:b/>
              </w:rPr>
              <w:t>HOME</w:t>
            </w:r>
          </w:p>
        </w:tc>
        <w:tc>
          <w:tcPr>
            <w:tcW w:w="720" w:type="dxa"/>
          </w:tcPr>
          <w:p w14:paraId="301650D2" w14:textId="77777777" w:rsidR="00FE3457" w:rsidRDefault="005268B9">
            <w:pPr>
              <w:keepNext/>
              <w:widowControl w:val="0"/>
              <w:spacing w:after="0" w:line="240" w:lineRule="auto"/>
              <w:rPr>
                <w:b/>
              </w:rPr>
            </w:pPr>
            <w:r>
              <w:rPr>
                <w:b/>
              </w:rPr>
              <w:t>ESG</w:t>
            </w:r>
          </w:p>
        </w:tc>
        <w:tc>
          <w:tcPr>
            <w:tcW w:w="990" w:type="dxa"/>
          </w:tcPr>
          <w:p w14:paraId="63274A99" w14:textId="77777777" w:rsidR="00FE3457" w:rsidRDefault="005268B9">
            <w:pPr>
              <w:keepNext/>
              <w:widowControl w:val="0"/>
              <w:spacing w:after="0" w:line="240" w:lineRule="auto"/>
              <w:jc w:val="center"/>
              <w:rPr>
                <w:b/>
              </w:rPr>
            </w:pPr>
            <w:r>
              <w:rPr>
                <w:b/>
              </w:rPr>
              <w:t>HOPWA</w:t>
            </w:r>
          </w:p>
        </w:tc>
        <w:tc>
          <w:tcPr>
            <w:tcW w:w="720" w:type="dxa"/>
          </w:tcPr>
          <w:p w14:paraId="7565C644" w14:textId="77777777" w:rsidR="00FE3457" w:rsidRDefault="005268B9">
            <w:pPr>
              <w:keepNext/>
              <w:widowControl w:val="0"/>
              <w:spacing w:after="0" w:line="240" w:lineRule="auto"/>
              <w:jc w:val="center"/>
              <w:rPr>
                <w:b/>
              </w:rPr>
            </w:pPr>
            <w:r>
              <w:rPr>
                <w:b/>
              </w:rPr>
              <w:t>HTF</w:t>
            </w:r>
          </w:p>
        </w:tc>
      </w:tr>
      <w:tr w:rsidR="00E2285C" w14:paraId="30857867" w14:textId="77777777">
        <w:trPr>
          <w:cantSplit/>
        </w:trPr>
        <w:tc>
          <w:tcPr>
            <w:tcW w:w="5335" w:type="dxa"/>
            <w:vAlign w:val="center"/>
          </w:tcPr>
          <w:p w14:paraId="6C348EA6" w14:textId="77777777" w:rsidR="00E2285C" w:rsidRDefault="00730313">
            <w:pPr>
              <w:spacing w:beforeAutospacing="1" w:afterAutospacing="1"/>
            </w:pPr>
            <w:r>
              <w:rPr>
                <w:rFonts w:ascii="Arial" w:hAnsi="Arial"/>
                <w:color w:val="25396E"/>
                <w:sz w:val="16"/>
              </w:rPr>
              <w:t>Outreach efforts to generate job applicants who are Public Housing Targeted Workers</w:t>
            </w:r>
          </w:p>
        </w:tc>
        <w:tc>
          <w:tcPr>
            <w:tcW w:w="793" w:type="dxa"/>
            <w:vAlign w:val="center"/>
          </w:tcPr>
          <w:p w14:paraId="375168A5"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492862F9"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2D69CCEA"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4EE6FA68"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E2159FA" w14:textId="77777777" w:rsidR="00E2285C" w:rsidRDefault="00730313">
            <w:pPr>
              <w:spacing w:beforeAutospacing="1" w:afterAutospacing="1"/>
              <w:jc w:val="right"/>
            </w:pPr>
            <w:r>
              <w:rPr>
                <w:rFonts w:ascii="Arial" w:hAnsi="Arial"/>
                <w:color w:val="000000"/>
                <w:sz w:val="16"/>
              </w:rPr>
              <w:t xml:space="preserve"> </w:t>
            </w:r>
          </w:p>
        </w:tc>
      </w:tr>
      <w:tr w:rsidR="00E2285C" w14:paraId="5F89EDB7" w14:textId="77777777">
        <w:trPr>
          <w:cantSplit/>
        </w:trPr>
        <w:tc>
          <w:tcPr>
            <w:tcW w:w="5335" w:type="dxa"/>
            <w:vAlign w:val="center"/>
          </w:tcPr>
          <w:p w14:paraId="0B68E42F" w14:textId="77777777" w:rsidR="00E2285C" w:rsidRDefault="00730313">
            <w:pPr>
              <w:spacing w:beforeAutospacing="1" w:afterAutospacing="1"/>
            </w:pPr>
            <w:r>
              <w:rPr>
                <w:rFonts w:ascii="Arial" w:hAnsi="Arial"/>
                <w:color w:val="25396E"/>
                <w:sz w:val="16"/>
              </w:rPr>
              <w:t>Outreach efforts to generate job applicants who are Other Funding Targeted Workers.</w:t>
            </w:r>
          </w:p>
        </w:tc>
        <w:tc>
          <w:tcPr>
            <w:tcW w:w="793" w:type="dxa"/>
            <w:vAlign w:val="center"/>
          </w:tcPr>
          <w:p w14:paraId="52068D9B"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6073456E"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13B69CC"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1F5692F9"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7512875" w14:textId="77777777" w:rsidR="00E2285C" w:rsidRDefault="00730313">
            <w:pPr>
              <w:spacing w:beforeAutospacing="1" w:afterAutospacing="1"/>
              <w:jc w:val="right"/>
            </w:pPr>
            <w:r>
              <w:rPr>
                <w:rFonts w:ascii="Arial" w:hAnsi="Arial"/>
                <w:color w:val="000000"/>
                <w:sz w:val="16"/>
              </w:rPr>
              <w:t xml:space="preserve"> </w:t>
            </w:r>
          </w:p>
        </w:tc>
      </w:tr>
      <w:tr w:rsidR="00E2285C" w14:paraId="3555D41C" w14:textId="77777777">
        <w:trPr>
          <w:cantSplit/>
        </w:trPr>
        <w:tc>
          <w:tcPr>
            <w:tcW w:w="5335" w:type="dxa"/>
            <w:vAlign w:val="center"/>
          </w:tcPr>
          <w:p w14:paraId="49715DD2" w14:textId="77777777" w:rsidR="00E2285C" w:rsidRDefault="00730313">
            <w:pPr>
              <w:spacing w:beforeAutospacing="1" w:afterAutospacing="1"/>
            </w:pPr>
            <w:r>
              <w:rPr>
                <w:rFonts w:ascii="Arial" w:hAnsi="Arial"/>
                <w:color w:val="25396E"/>
                <w:sz w:val="16"/>
              </w:rPr>
              <w:t>Direct, on-the job training (including apprenticeships).</w:t>
            </w:r>
          </w:p>
        </w:tc>
        <w:tc>
          <w:tcPr>
            <w:tcW w:w="793" w:type="dxa"/>
            <w:vAlign w:val="center"/>
          </w:tcPr>
          <w:p w14:paraId="1D29210D"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4DE5A871"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7E7BE425"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71EC4B43"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11031DE" w14:textId="77777777" w:rsidR="00E2285C" w:rsidRDefault="00730313">
            <w:pPr>
              <w:spacing w:beforeAutospacing="1" w:afterAutospacing="1"/>
              <w:jc w:val="right"/>
            </w:pPr>
            <w:r>
              <w:rPr>
                <w:rFonts w:ascii="Arial" w:hAnsi="Arial"/>
                <w:color w:val="000000"/>
                <w:sz w:val="16"/>
              </w:rPr>
              <w:t xml:space="preserve"> </w:t>
            </w:r>
          </w:p>
        </w:tc>
      </w:tr>
      <w:tr w:rsidR="00E2285C" w14:paraId="7453BB8A" w14:textId="77777777">
        <w:trPr>
          <w:cantSplit/>
        </w:trPr>
        <w:tc>
          <w:tcPr>
            <w:tcW w:w="5335" w:type="dxa"/>
            <w:vAlign w:val="center"/>
          </w:tcPr>
          <w:p w14:paraId="38B7146F" w14:textId="77777777" w:rsidR="00E2285C" w:rsidRDefault="00730313">
            <w:pPr>
              <w:spacing w:beforeAutospacing="1" w:afterAutospacing="1"/>
            </w:pPr>
            <w:r>
              <w:rPr>
                <w:rFonts w:ascii="Arial" w:hAnsi="Arial"/>
                <w:color w:val="25396E"/>
                <w:sz w:val="16"/>
              </w:rPr>
              <w:t>Indirect training such as arranging for, contracting for, or paying tuition for, off-site training.</w:t>
            </w:r>
          </w:p>
        </w:tc>
        <w:tc>
          <w:tcPr>
            <w:tcW w:w="793" w:type="dxa"/>
            <w:vAlign w:val="center"/>
          </w:tcPr>
          <w:p w14:paraId="6297AD21"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6FD9BDC7"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F525FA0"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662B38FE"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23364722" w14:textId="77777777" w:rsidR="00E2285C" w:rsidRDefault="00730313">
            <w:pPr>
              <w:spacing w:beforeAutospacing="1" w:afterAutospacing="1"/>
              <w:jc w:val="right"/>
            </w:pPr>
            <w:r>
              <w:rPr>
                <w:rFonts w:ascii="Arial" w:hAnsi="Arial"/>
                <w:color w:val="000000"/>
                <w:sz w:val="16"/>
              </w:rPr>
              <w:t xml:space="preserve"> </w:t>
            </w:r>
          </w:p>
        </w:tc>
      </w:tr>
      <w:tr w:rsidR="00E2285C" w14:paraId="289E5F02" w14:textId="77777777">
        <w:trPr>
          <w:cantSplit/>
        </w:trPr>
        <w:tc>
          <w:tcPr>
            <w:tcW w:w="5335" w:type="dxa"/>
            <w:vAlign w:val="center"/>
          </w:tcPr>
          <w:p w14:paraId="4B4E9551" w14:textId="77777777" w:rsidR="00E2285C" w:rsidRDefault="00730313">
            <w:pPr>
              <w:spacing w:beforeAutospacing="1" w:afterAutospacing="1"/>
            </w:pPr>
            <w:r>
              <w:rPr>
                <w:rFonts w:ascii="Arial" w:hAnsi="Arial"/>
                <w:color w:val="25396E"/>
                <w:sz w:val="16"/>
              </w:rPr>
              <w:t>Technical assistance to help Section 3 workers compete for jobs (e.g., resume assistance, coaching).</w:t>
            </w:r>
          </w:p>
        </w:tc>
        <w:tc>
          <w:tcPr>
            <w:tcW w:w="793" w:type="dxa"/>
            <w:vAlign w:val="center"/>
          </w:tcPr>
          <w:p w14:paraId="20C32BC1"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7A725118"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E9DF896"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5D565780"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467AE81" w14:textId="77777777" w:rsidR="00E2285C" w:rsidRDefault="00730313">
            <w:pPr>
              <w:spacing w:beforeAutospacing="1" w:afterAutospacing="1"/>
              <w:jc w:val="right"/>
            </w:pPr>
            <w:r>
              <w:rPr>
                <w:rFonts w:ascii="Arial" w:hAnsi="Arial"/>
                <w:color w:val="000000"/>
                <w:sz w:val="16"/>
              </w:rPr>
              <w:t xml:space="preserve"> </w:t>
            </w:r>
          </w:p>
        </w:tc>
      </w:tr>
      <w:tr w:rsidR="00E2285C" w14:paraId="755AA616" w14:textId="77777777">
        <w:trPr>
          <w:cantSplit/>
        </w:trPr>
        <w:tc>
          <w:tcPr>
            <w:tcW w:w="5335" w:type="dxa"/>
            <w:vAlign w:val="center"/>
          </w:tcPr>
          <w:p w14:paraId="5EAFA8E4" w14:textId="77777777" w:rsidR="00E2285C" w:rsidRDefault="00730313">
            <w:pPr>
              <w:spacing w:beforeAutospacing="1" w:afterAutospacing="1"/>
            </w:pPr>
            <w:r>
              <w:rPr>
                <w:rFonts w:ascii="Arial" w:hAnsi="Arial"/>
                <w:color w:val="25396E"/>
                <w:sz w:val="16"/>
              </w:rPr>
              <w:t>Outreach efforts to identify and secure bids from Section 3 business concerns.</w:t>
            </w:r>
          </w:p>
        </w:tc>
        <w:tc>
          <w:tcPr>
            <w:tcW w:w="793" w:type="dxa"/>
            <w:vAlign w:val="center"/>
          </w:tcPr>
          <w:p w14:paraId="13EF1284"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55A603B4"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CE9019B"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71EF82C1"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C781217" w14:textId="77777777" w:rsidR="00E2285C" w:rsidRDefault="00730313">
            <w:pPr>
              <w:spacing w:beforeAutospacing="1" w:afterAutospacing="1"/>
              <w:jc w:val="right"/>
            </w:pPr>
            <w:r>
              <w:rPr>
                <w:rFonts w:ascii="Arial" w:hAnsi="Arial"/>
                <w:color w:val="000000"/>
                <w:sz w:val="16"/>
              </w:rPr>
              <w:t xml:space="preserve"> </w:t>
            </w:r>
          </w:p>
        </w:tc>
      </w:tr>
      <w:tr w:rsidR="00E2285C" w14:paraId="602D84F3" w14:textId="77777777">
        <w:trPr>
          <w:cantSplit/>
        </w:trPr>
        <w:tc>
          <w:tcPr>
            <w:tcW w:w="5335" w:type="dxa"/>
            <w:vAlign w:val="center"/>
          </w:tcPr>
          <w:p w14:paraId="31A2A0DD" w14:textId="77777777" w:rsidR="00E2285C" w:rsidRDefault="00730313">
            <w:pPr>
              <w:spacing w:beforeAutospacing="1" w:afterAutospacing="1"/>
            </w:pPr>
            <w:r>
              <w:rPr>
                <w:rFonts w:ascii="Arial" w:hAnsi="Arial"/>
                <w:color w:val="25396E"/>
                <w:sz w:val="16"/>
              </w:rPr>
              <w:t>Technical assistance to help Section 3 business concerns understand and bid on contracts.</w:t>
            </w:r>
          </w:p>
        </w:tc>
        <w:tc>
          <w:tcPr>
            <w:tcW w:w="793" w:type="dxa"/>
            <w:vAlign w:val="center"/>
          </w:tcPr>
          <w:p w14:paraId="47021653"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361F5867"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6B8F309F"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6F492F5B"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65AAAFF7" w14:textId="77777777" w:rsidR="00E2285C" w:rsidRDefault="00730313">
            <w:pPr>
              <w:spacing w:beforeAutospacing="1" w:afterAutospacing="1"/>
              <w:jc w:val="right"/>
            </w:pPr>
            <w:r>
              <w:rPr>
                <w:rFonts w:ascii="Arial" w:hAnsi="Arial"/>
                <w:color w:val="000000"/>
                <w:sz w:val="16"/>
              </w:rPr>
              <w:t xml:space="preserve"> </w:t>
            </w:r>
          </w:p>
        </w:tc>
      </w:tr>
      <w:tr w:rsidR="00E2285C" w14:paraId="2F0F3278" w14:textId="77777777">
        <w:trPr>
          <w:cantSplit/>
        </w:trPr>
        <w:tc>
          <w:tcPr>
            <w:tcW w:w="5335" w:type="dxa"/>
            <w:vAlign w:val="center"/>
          </w:tcPr>
          <w:p w14:paraId="4D523F89" w14:textId="77777777" w:rsidR="00E2285C" w:rsidRDefault="00730313">
            <w:pPr>
              <w:spacing w:beforeAutospacing="1" w:afterAutospacing="1"/>
            </w:pPr>
            <w:r>
              <w:rPr>
                <w:rFonts w:ascii="Arial" w:hAnsi="Arial"/>
                <w:color w:val="25396E"/>
                <w:sz w:val="16"/>
              </w:rPr>
              <w:t>Division of contracts into smaller jobs to facilitate participation by Section 3 business concerns.</w:t>
            </w:r>
          </w:p>
        </w:tc>
        <w:tc>
          <w:tcPr>
            <w:tcW w:w="793" w:type="dxa"/>
            <w:vAlign w:val="center"/>
          </w:tcPr>
          <w:p w14:paraId="675C3BC4"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586DB59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3DCC844"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47FB7AB8"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59FD085" w14:textId="77777777" w:rsidR="00E2285C" w:rsidRDefault="00730313">
            <w:pPr>
              <w:spacing w:beforeAutospacing="1" w:afterAutospacing="1"/>
              <w:jc w:val="right"/>
            </w:pPr>
            <w:r>
              <w:rPr>
                <w:rFonts w:ascii="Arial" w:hAnsi="Arial"/>
                <w:color w:val="000000"/>
                <w:sz w:val="16"/>
              </w:rPr>
              <w:t xml:space="preserve"> </w:t>
            </w:r>
          </w:p>
        </w:tc>
      </w:tr>
      <w:tr w:rsidR="00E2285C" w14:paraId="0327FB50" w14:textId="77777777">
        <w:trPr>
          <w:cantSplit/>
        </w:trPr>
        <w:tc>
          <w:tcPr>
            <w:tcW w:w="5335" w:type="dxa"/>
            <w:vAlign w:val="center"/>
          </w:tcPr>
          <w:p w14:paraId="750FE940" w14:textId="77777777" w:rsidR="00E2285C" w:rsidRDefault="00730313">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793" w:type="dxa"/>
            <w:vAlign w:val="center"/>
          </w:tcPr>
          <w:p w14:paraId="7E743D46"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4C5F9E8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B51F492"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62202FBF"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7D4A0C3" w14:textId="77777777" w:rsidR="00E2285C" w:rsidRDefault="00730313">
            <w:pPr>
              <w:spacing w:beforeAutospacing="1" w:afterAutospacing="1"/>
              <w:jc w:val="right"/>
            </w:pPr>
            <w:r>
              <w:rPr>
                <w:rFonts w:ascii="Arial" w:hAnsi="Arial"/>
                <w:color w:val="000000"/>
                <w:sz w:val="16"/>
              </w:rPr>
              <w:t xml:space="preserve"> </w:t>
            </w:r>
          </w:p>
        </w:tc>
      </w:tr>
      <w:tr w:rsidR="00E2285C" w14:paraId="7D821FC9" w14:textId="77777777">
        <w:trPr>
          <w:cantSplit/>
        </w:trPr>
        <w:tc>
          <w:tcPr>
            <w:tcW w:w="5335" w:type="dxa"/>
            <w:vAlign w:val="center"/>
          </w:tcPr>
          <w:p w14:paraId="2FE0CE75" w14:textId="77777777" w:rsidR="00E2285C" w:rsidRDefault="00730313">
            <w:pPr>
              <w:spacing w:beforeAutospacing="1" w:afterAutospacing="1"/>
            </w:pPr>
            <w:r>
              <w:rPr>
                <w:rFonts w:ascii="Arial" w:hAnsi="Arial"/>
                <w:color w:val="25396E"/>
                <w:sz w:val="16"/>
              </w:rPr>
              <w:t>Held one or more job fairs.</w:t>
            </w:r>
          </w:p>
        </w:tc>
        <w:tc>
          <w:tcPr>
            <w:tcW w:w="793" w:type="dxa"/>
            <w:vAlign w:val="center"/>
          </w:tcPr>
          <w:p w14:paraId="5E5D204B" w14:textId="77777777" w:rsidR="00E2285C" w:rsidRDefault="00730313">
            <w:pPr>
              <w:spacing w:beforeAutospacing="1" w:afterAutospacing="1"/>
              <w:jc w:val="right"/>
            </w:pPr>
            <w:r>
              <w:rPr>
                <w:rFonts w:ascii="Arial" w:hAnsi="Arial"/>
                <w:color w:val="000000"/>
                <w:sz w:val="16"/>
              </w:rPr>
              <w:t>1</w:t>
            </w:r>
          </w:p>
        </w:tc>
        <w:tc>
          <w:tcPr>
            <w:tcW w:w="881" w:type="dxa"/>
            <w:vAlign w:val="center"/>
          </w:tcPr>
          <w:p w14:paraId="35ACBA28"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3E6E735D"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2E4C80A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7F0D758" w14:textId="77777777" w:rsidR="00E2285C" w:rsidRDefault="00730313">
            <w:pPr>
              <w:spacing w:beforeAutospacing="1" w:afterAutospacing="1"/>
              <w:jc w:val="right"/>
            </w:pPr>
            <w:r>
              <w:rPr>
                <w:rFonts w:ascii="Arial" w:hAnsi="Arial"/>
                <w:color w:val="000000"/>
                <w:sz w:val="16"/>
              </w:rPr>
              <w:t xml:space="preserve"> </w:t>
            </w:r>
          </w:p>
        </w:tc>
      </w:tr>
      <w:tr w:rsidR="00E2285C" w14:paraId="00C51473" w14:textId="77777777">
        <w:trPr>
          <w:cantSplit/>
        </w:trPr>
        <w:tc>
          <w:tcPr>
            <w:tcW w:w="5335" w:type="dxa"/>
            <w:vAlign w:val="center"/>
          </w:tcPr>
          <w:p w14:paraId="040A538A" w14:textId="77777777" w:rsidR="00E2285C" w:rsidRDefault="00730313">
            <w:pPr>
              <w:spacing w:beforeAutospacing="1" w:afterAutospacing="1"/>
            </w:pPr>
            <w:r>
              <w:rPr>
                <w:rFonts w:ascii="Arial" w:hAnsi="Arial"/>
                <w:color w:val="25396E"/>
                <w:sz w:val="16"/>
              </w:rPr>
              <w:t>Provided or connected residents with supportive services that can provide direct services or referrals.</w:t>
            </w:r>
          </w:p>
        </w:tc>
        <w:tc>
          <w:tcPr>
            <w:tcW w:w="793" w:type="dxa"/>
            <w:vAlign w:val="center"/>
          </w:tcPr>
          <w:p w14:paraId="1B338FCE"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24208DEE"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FF1B0DD"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461ADA1D"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F2E5D7C" w14:textId="77777777" w:rsidR="00E2285C" w:rsidRDefault="00730313">
            <w:pPr>
              <w:spacing w:beforeAutospacing="1" w:afterAutospacing="1"/>
              <w:jc w:val="right"/>
            </w:pPr>
            <w:r>
              <w:rPr>
                <w:rFonts w:ascii="Arial" w:hAnsi="Arial"/>
                <w:color w:val="000000"/>
                <w:sz w:val="16"/>
              </w:rPr>
              <w:t xml:space="preserve"> </w:t>
            </w:r>
          </w:p>
        </w:tc>
      </w:tr>
      <w:tr w:rsidR="00E2285C" w14:paraId="2149EAD9" w14:textId="77777777">
        <w:trPr>
          <w:cantSplit/>
        </w:trPr>
        <w:tc>
          <w:tcPr>
            <w:tcW w:w="5335" w:type="dxa"/>
            <w:vAlign w:val="center"/>
          </w:tcPr>
          <w:p w14:paraId="23AE2E4F" w14:textId="77777777" w:rsidR="00E2285C" w:rsidRDefault="00730313">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793" w:type="dxa"/>
            <w:vAlign w:val="center"/>
          </w:tcPr>
          <w:p w14:paraId="6C335ED2"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09C986A1"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33E92C0"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6290956E"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FC19A50" w14:textId="77777777" w:rsidR="00E2285C" w:rsidRDefault="00730313">
            <w:pPr>
              <w:spacing w:beforeAutospacing="1" w:afterAutospacing="1"/>
              <w:jc w:val="right"/>
            </w:pPr>
            <w:r>
              <w:rPr>
                <w:rFonts w:ascii="Arial" w:hAnsi="Arial"/>
                <w:color w:val="000000"/>
                <w:sz w:val="16"/>
              </w:rPr>
              <w:t xml:space="preserve"> </w:t>
            </w:r>
          </w:p>
        </w:tc>
      </w:tr>
      <w:tr w:rsidR="00E2285C" w14:paraId="22863FBA" w14:textId="77777777">
        <w:trPr>
          <w:cantSplit/>
        </w:trPr>
        <w:tc>
          <w:tcPr>
            <w:tcW w:w="5335" w:type="dxa"/>
            <w:vAlign w:val="center"/>
          </w:tcPr>
          <w:p w14:paraId="2BC33D02" w14:textId="77777777" w:rsidR="00E2285C" w:rsidRDefault="00730313">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793" w:type="dxa"/>
            <w:vAlign w:val="center"/>
          </w:tcPr>
          <w:p w14:paraId="7C0835B6"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62018BF7"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70635E84"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2F2DDB5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D44C6AB" w14:textId="77777777" w:rsidR="00E2285C" w:rsidRDefault="00730313">
            <w:pPr>
              <w:spacing w:beforeAutospacing="1" w:afterAutospacing="1"/>
              <w:jc w:val="right"/>
            </w:pPr>
            <w:r>
              <w:rPr>
                <w:rFonts w:ascii="Arial" w:hAnsi="Arial"/>
                <w:color w:val="000000"/>
                <w:sz w:val="16"/>
              </w:rPr>
              <w:t xml:space="preserve"> </w:t>
            </w:r>
          </w:p>
        </w:tc>
      </w:tr>
      <w:tr w:rsidR="00E2285C" w14:paraId="1629E2E2" w14:textId="77777777">
        <w:trPr>
          <w:cantSplit/>
        </w:trPr>
        <w:tc>
          <w:tcPr>
            <w:tcW w:w="5335" w:type="dxa"/>
            <w:vAlign w:val="center"/>
          </w:tcPr>
          <w:p w14:paraId="13477F7D" w14:textId="77777777" w:rsidR="00E2285C" w:rsidRDefault="00730313">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793" w:type="dxa"/>
            <w:vAlign w:val="center"/>
          </w:tcPr>
          <w:p w14:paraId="38F2ABBD"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50B33685"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63F6363"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48D482FD"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BB1FC54" w14:textId="77777777" w:rsidR="00E2285C" w:rsidRDefault="00730313">
            <w:pPr>
              <w:spacing w:beforeAutospacing="1" w:afterAutospacing="1"/>
              <w:jc w:val="right"/>
            </w:pPr>
            <w:r>
              <w:rPr>
                <w:rFonts w:ascii="Arial" w:hAnsi="Arial"/>
                <w:color w:val="000000"/>
                <w:sz w:val="16"/>
              </w:rPr>
              <w:t xml:space="preserve"> </w:t>
            </w:r>
          </w:p>
        </w:tc>
      </w:tr>
      <w:tr w:rsidR="00E2285C" w14:paraId="1E36B5E9" w14:textId="77777777">
        <w:trPr>
          <w:cantSplit/>
        </w:trPr>
        <w:tc>
          <w:tcPr>
            <w:tcW w:w="5335" w:type="dxa"/>
            <w:vAlign w:val="center"/>
          </w:tcPr>
          <w:p w14:paraId="5FF1ACB3" w14:textId="77777777" w:rsidR="00E2285C" w:rsidRDefault="00730313">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793" w:type="dxa"/>
            <w:vAlign w:val="center"/>
          </w:tcPr>
          <w:p w14:paraId="557B3C7F" w14:textId="77777777" w:rsidR="00E2285C" w:rsidRDefault="00730313">
            <w:pPr>
              <w:spacing w:beforeAutospacing="1" w:afterAutospacing="1"/>
              <w:jc w:val="right"/>
            </w:pPr>
            <w:r>
              <w:rPr>
                <w:rFonts w:ascii="Arial" w:hAnsi="Arial"/>
                <w:color w:val="000000"/>
                <w:sz w:val="16"/>
              </w:rPr>
              <w:t>1</w:t>
            </w:r>
          </w:p>
        </w:tc>
        <w:tc>
          <w:tcPr>
            <w:tcW w:w="881" w:type="dxa"/>
            <w:vAlign w:val="center"/>
          </w:tcPr>
          <w:p w14:paraId="73CCBC6F"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065E889"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30968D23"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1AB1487D" w14:textId="77777777" w:rsidR="00E2285C" w:rsidRDefault="00730313">
            <w:pPr>
              <w:spacing w:beforeAutospacing="1" w:afterAutospacing="1"/>
              <w:jc w:val="right"/>
            </w:pPr>
            <w:r>
              <w:rPr>
                <w:rFonts w:ascii="Arial" w:hAnsi="Arial"/>
                <w:color w:val="000000"/>
                <w:sz w:val="16"/>
              </w:rPr>
              <w:t xml:space="preserve"> </w:t>
            </w:r>
          </w:p>
        </w:tc>
      </w:tr>
      <w:tr w:rsidR="00E2285C" w14:paraId="5CD44131" w14:textId="77777777">
        <w:trPr>
          <w:cantSplit/>
        </w:trPr>
        <w:tc>
          <w:tcPr>
            <w:tcW w:w="5335" w:type="dxa"/>
            <w:vAlign w:val="center"/>
          </w:tcPr>
          <w:p w14:paraId="33ED5E99" w14:textId="77777777" w:rsidR="00E2285C" w:rsidRDefault="00730313">
            <w:pPr>
              <w:spacing w:beforeAutospacing="1" w:afterAutospacing="1"/>
            </w:pPr>
            <w:r>
              <w:rPr>
                <w:rFonts w:ascii="Arial" w:hAnsi="Arial"/>
                <w:color w:val="25396E"/>
                <w:sz w:val="16"/>
              </w:rPr>
              <w:t>Assisted residents to obtain financial literacy training and/or coaching.</w:t>
            </w:r>
          </w:p>
        </w:tc>
        <w:tc>
          <w:tcPr>
            <w:tcW w:w="793" w:type="dxa"/>
            <w:vAlign w:val="center"/>
          </w:tcPr>
          <w:p w14:paraId="3452DAD7" w14:textId="77777777" w:rsidR="00E2285C" w:rsidRDefault="00730313">
            <w:pPr>
              <w:spacing w:beforeAutospacing="1" w:afterAutospacing="1"/>
              <w:jc w:val="right"/>
            </w:pPr>
            <w:r>
              <w:rPr>
                <w:rFonts w:ascii="Arial" w:hAnsi="Arial"/>
                <w:color w:val="000000"/>
                <w:sz w:val="16"/>
              </w:rPr>
              <w:t>1</w:t>
            </w:r>
          </w:p>
        </w:tc>
        <w:tc>
          <w:tcPr>
            <w:tcW w:w="881" w:type="dxa"/>
            <w:vAlign w:val="center"/>
          </w:tcPr>
          <w:p w14:paraId="69A239FA"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F971DCA"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335E8C6D"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D3DF45C" w14:textId="77777777" w:rsidR="00E2285C" w:rsidRDefault="00730313">
            <w:pPr>
              <w:spacing w:beforeAutospacing="1" w:afterAutospacing="1"/>
              <w:jc w:val="right"/>
            </w:pPr>
            <w:r>
              <w:rPr>
                <w:rFonts w:ascii="Arial" w:hAnsi="Arial"/>
                <w:color w:val="000000"/>
                <w:sz w:val="16"/>
              </w:rPr>
              <w:t xml:space="preserve"> </w:t>
            </w:r>
          </w:p>
        </w:tc>
      </w:tr>
      <w:tr w:rsidR="00E2285C" w14:paraId="15E1FC22" w14:textId="77777777">
        <w:trPr>
          <w:cantSplit/>
        </w:trPr>
        <w:tc>
          <w:tcPr>
            <w:tcW w:w="5335" w:type="dxa"/>
            <w:vAlign w:val="center"/>
          </w:tcPr>
          <w:p w14:paraId="55D5D17C" w14:textId="77777777" w:rsidR="00E2285C" w:rsidRDefault="00730313">
            <w:pPr>
              <w:spacing w:beforeAutospacing="1" w:afterAutospacing="1"/>
            </w:pPr>
            <w:r>
              <w:rPr>
                <w:rFonts w:ascii="Arial" w:hAnsi="Arial"/>
                <w:color w:val="25396E"/>
                <w:sz w:val="16"/>
              </w:rPr>
              <w:t>Bonding assistance, guaranties, or other efforts to support viable bids from Section 3 business concerns.</w:t>
            </w:r>
          </w:p>
        </w:tc>
        <w:tc>
          <w:tcPr>
            <w:tcW w:w="793" w:type="dxa"/>
            <w:vAlign w:val="center"/>
          </w:tcPr>
          <w:p w14:paraId="06D27657"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5312977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B4A4C83"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3C65F69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2EB2A147" w14:textId="77777777" w:rsidR="00E2285C" w:rsidRDefault="00730313">
            <w:pPr>
              <w:spacing w:beforeAutospacing="1" w:afterAutospacing="1"/>
              <w:jc w:val="right"/>
            </w:pPr>
            <w:r>
              <w:rPr>
                <w:rFonts w:ascii="Arial" w:hAnsi="Arial"/>
                <w:color w:val="000000"/>
                <w:sz w:val="16"/>
              </w:rPr>
              <w:t xml:space="preserve"> </w:t>
            </w:r>
          </w:p>
        </w:tc>
      </w:tr>
      <w:tr w:rsidR="00E2285C" w14:paraId="020B3D29" w14:textId="77777777">
        <w:trPr>
          <w:cantSplit/>
        </w:trPr>
        <w:tc>
          <w:tcPr>
            <w:tcW w:w="5335" w:type="dxa"/>
            <w:vAlign w:val="center"/>
          </w:tcPr>
          <w:p w14:paraId="199267F1" w14:textId="77777777" w:rsidR="00E2285C" w:rsidRDefault="00730313">
            <w:pPr>
              <w:spacing w:beforeAutospacing="1" w:afterAutospacing="1"/>
            </w:pPr>
            <w:r>
              <w:rPr>
                <w:rFonts w:ascii="Arial" w:hAnsi="Arial"/>
                <w:color w:val="25396E"/>
                <w:sz w:val="16"/>
              </w:rPr>
              <w:t>Provided or connected residents with training on computer use or online technologies.</w:t>
            </w:r>
          </w:p>
        </w:tc>
        <w:tc>
          <w:tcPr>
            <w:tcW w:w="793" w:type="dxa"/>
            <w:vAlign w:val="center"/>
          </w:tcPr>
          <w:p w14:paraId="20AA35E2"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3CE1F4D2"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4379EE56"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37B92F1C"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6512527" w14:textId="77777777" w:rsidR="00E2285C" w:rsidRDefault="00730313">
            <w:pPr>
              <w:spacing w:beforeAutospacing="1" w:afterAutospacing="1"/>
              <w:jc w:val="right"/>
            </w:pPr>
            <w:r>
              <w:rPr>
                <w:rFonts w:ascii="Arial" w:hAnsi="Arial"/>
                <w:color w:val="000000"/>
                <w:sz w:val="16"/>
              </w:rPr>
              <w:t xml:space="preserve"> </w:t>
            </w:r>
          </w:p>
        </w:tc>
      </w:tr>
      <w:tr w:rsidR="00E2285C" w14:paraId="7E7F8E0D" w14:textId="77777777">
        <w:trPr>
          <w:cantSplit/>
        </w:trPr>
        <w:tc>
          <w:tcPr>
            <w:tcW w:w="5335" w:type="dxa"/>
            <w:vAlign w:val="center"/>
          </w:tcPr>
          <w:p w14:paraId="04360845" w14:textId="77777777" w:rsidR="00E2285C" w:rsidRDefault="00730313">
            <w:pPr>
              <w:spacing w:beforeAutospacing="1" w:afterAutospacing="1"/>
            </w:pPr>
            <w:r>
              <w:rPr>
                <w:rFonts w:ascii="Arial" w:hAnsi="Arial"/>
                <w:color w:val="25396E"/>
                <w:sz w:val="16"/>
              </w:rPr>
              <w:t>Promoting the use of a business registry designed to create opportunities for disadvantaged and small businesses.</w:t>
            </w:r>
          </w:p>
        </w:tc>
        <w:tc>
          <w:tcPr>
            <w:tcW w:w="793" w:type="dxa"/>
            <w:vAlign w:val="center"/>
          </w:tcPr>
          <w:p w14:paraId="27E7DF4A"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056DE867"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6479696E"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20CE9763"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30927AD8" w14:textId="77777777" w:rsidR="00E2285C" w:rsidRDefault="00730313">
            <w:pPr>
              <w:spacing w:beforeAutospacing="1" w:afterAutospacing="1"/>
              <w:jc w:val="right"/>
            </w:pPr>
            <w:r>
              <w:rPr>
                <w:rFonts w:ascii="Arial" w:hAnsi="Arial"/>
                <w:color w:val="000000"/>
                <w:sz w:val="16"/>
              </w:rPr>
              <w:t xml:space="preserve"> </w:t>
            </w:r>
          </w:p>
        </w:tc>
      </w:tr>
      <w:tr w:rsidR="00E2285C" w14:paraId="1445846A" w14:textId="77777777">
        <w:trPr>
          <w:cantSplit/>
        </w:trPr>
        <w:tc>
          <w:tcPr>
            <w:tcW w:w="5335" w:type="dxa"/>
            <w:vAlign w:val="center"/>
          </w:tcPr>
          <w:p w14:paraId="7E7983E7" w14:textId="77777777" w:rsidR="00E2285C" w:rsidRDefault="00730313">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793" w:type="dxa"/>
            <w:vAlign w:val="center"/>
          </w:tcPr>
          <w:p w14:paraId="16C62670" w14:textId="77777777" w:rsidR="00E2285C" w:rsidRDefault="00730313">
            <w:pPr>
              <w:spacing w:beforeAutospacing="1" w:afterAutospacing="1"/>
              <w:jc w:val="right"/>
            </w:pPr>
            <w:r>
              <w:rPr>
                <w:rFonts w:ascii="Arial" w:hAnsi="Arial"/>
                <w:color w:val="000000"/>
                <w:sz w:val="16"/>
              </w:rPr>
              <w:t>1</w:t>
            </w:r>
          </w:p>
        </w:tc>
        <w:tc>
          <w:tcPr>
            <w:tcW w:w="881" w:type="dxa"/>
            <w:vAlign w:val="center"/>
          </w:tcPr>
          <w:p w14:paraId="4ABD515B"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BE6F283"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45F27F5B"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030C91E4" w14:textId="77777777" w:rsidR="00E2285C" w:rsidRDefault="00730313">
            <w:pPr>
              <w:spacing w:beforeAutospacing="1" w:afterAutospacing="1"/>
              <w:jc w:val="right"/>
            </w:pPr>
            <w:r>
              <w:rPr>
                <w:rFonts w:ascii="Arial" w:hAnsi="Arial"/>
                <w:color w:val="000000"/>
                <w:sz w:val="16"/>
              </w:rPr>
              <w:t xml:space="preserve"> </w:t>
            </w:r>
          </w:p>
        </w:tc>
      </w:tr>
      <w:tr w:rsidR="00E2285C" w14:paraId="7AEE145B" w14:textId="77777777">
        <w:trPr>
          <w:cantSplit/>
        </w:trPr>
        <w:tc>
          <w:tcPr>
            <w:tcW w:w="5335" w:type="dxa"/>
            <w:vAlign w:val="center"/>
          </w:tcPr>
          <w:p w14:paraId="49F58CE8" w14:textId="77777777" w:rsidR="00E2285C" w:rsidRDefault="00730313">
            <w:pPr>
              <w:spacing w:beforeAutospacing="1" w:afterAutospacing="1"/>
            </w:pPr>
            <w:r>
              <w:rPr>
                <w:rFonts w:ascii="Arial" w:hAnsi="Arial"/>
                <w:color w:val="25396E"/>
                <w:sz w:val="16"/>
              </w:rPr>
              <w:lastRenderedPageBreak/>
              <w:t>Other.</w:t>
            </w:r>
          </w:p>
        </w:tc>
        <w:tc>
          <w:tcPr>
            <w:tcW w:w="793" w:type="dxa"/>
            <w:vAlign w:val="center"/>
          </w:tcPr>
          <w:p w14:paraId="6C2B8C2D" w14:textId="77777777" w:rsidR="00E2285C" w:rsidRDefault="00730313">
            <w:pPr>
              <w:spacing w:beforeAutospacing="1" w:afterAutospacing="1"/>
              <w:jc w:val="right"/>
            </w:pPr>
            <w:r>
              <w:rPr>
                <w:rFonts w:ascii="Arial" w:hAnsi="Arial"/>
                <w:color w:val="000000"/>
                <w:sz w:val="16"/>
              </w:rPr>
              <w:t xml:space="preserve"> </w:t>
            </w:r>
          </w:p>
        </w:tc>
        <w:tc>
          <w:tcPr>
            <w:tcW w:w="881" w:type="dxa"/>
            <w:vAlign w:val="center"/>
          </w:tcPr>
          <w:p w14:paraId="5DAD89C4"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658B01F0" w14:textId="77777777" w:rsidR="00E2285C" w:rsidRDefault="00730313">
            <w:pPr>
              <w:spacing w:beforeAutospacing="1" w:afterAutospacing="1"/>
              <w:jc w:val="right"/>
            </w:pPr>
            <w:r>
              <w:rPr>
                <w:rFonts w:ascii="Arial" w:hAnsi="Arial"/>
                <w:color w:val="000000"/>
                <w:sz w:val="16"/>
              </w:rPr>
              <w:t xml:space="preserve"> </w:t>
            </w:r>
          </w:p>
        </w:tc>
        <w:tc>
          <w:tcPr>
            <w:tcW w:w="968" w:type="dxa"/>
            <w:vAlign w:val="center"/>
          </w:tcPr>
          <w:p w14:paraId="20D636F2" w14:textId="77777777" w:rsidR="00E2285C" w:rsidRDefault="00730313">
            <w:pPr>
              <w:spacing w:beforeAutospacing="1" w:afterAutospacing="1"/>
              <w:jc w:val="right"/>
            </w:pPr>
            <w:r>
              <w:rPr>
                <w:rFonts w:ascii="Arial" w:hAnsi="Arial"/>
                <w:color w:val="000000"/>
                <w:sz w:val="16"/>
              </w:rPr>
              <w:t xml:space="preserve"> </w:t>
            </w:r>
          </w:p>
        </w:tc>
        <w:tc>
          <w:tcPr>
            <w:tcW w:w="706" w:type="dxa"/>
            <w:vAlign w:val="center"/>
          </w:tcPr>
          <w:p w14:paraId="5506A4D3" w14:textId="77777777" w:rsidR="00E2285C" w:rsidRDefault="00730313">
            <w:pPr>
              <w:spacing w:beforeAutospacing="1" w:afterAutospacing="1"/>
              <w:jc w:val="right"/>
            </w:pPr>
            <w:r>
              <w:rPr>
                <w:rFonts w:ascii="Arial" w:hAnsi="Arial"/>
                <w:color w:val="000000"/>
                <w:sz w:val="16"/>
              </w:rPr>
              <w:t xml:space="preserve"> </w:t>
            </w:r>
          </w:p>
        </w:tc>
      </w:tr>
    </w:tbl>
    <w:p w14:paraId="1A8FE1DE" w14:textId="77777777" w:rsidR="00FE3457" w:rsidRDefault="005268B9">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1CD8D067" w14:textId="77777777" w:rsidR="00FE3457" w:rsidRDefault="00FE3457">
      <w:pPr>
        <w:widowControl w:val="0"/>
        <w:rPr>
          <w:b/>
          <w:sz w:val="24"/>
          <w:szCs w:val="24"/>
        </w:rPr>
      </w:pPr>
    </w:p>
    <w:p w14:paraId="44BFAF39" w14:textId="77777777" w:rsidR="00FE3457" w:rsidRDefault="005268B9">
      <w:pPr>
        <w:widowControl w:val="0"/>
        <w:rPr>
          <w:b/>
          <w:sz w:val="24"/>
          <w:szCs w:val="24"/>
        </w:rPr>
      </w:pPr>
      <w:r>
        <w:rPr>
          <w:b/>
          <w:sz w:val="24"/>
          <w:szCs w:val="24"/>
        </w:rPr>
        <w:t>Narrative</w:t>
      </w:r>
    </w:p>
    <w:p w14:paraId="08B1F334" w14:textId="77777777" w:rsidR="00E2285C" w:rsidRDefault="00730313">
      <w:pPr>
        <w:widowControl w:val="0"/>
        <w:spacing w:beforeAutospacing="1" w:afterAutospacing="1"/>
        <w:rPr>
          <w:rFonts w:cs="Arial"/>
        </w:rPr>
      </w:pPr>
      <w:r>
        <w:rPr>
          <w:rFonts w:cs="Arial"/>
        </w:rPr>
        <w:t>The City needs to revamp its Section 3 program.  There were no officially listed Section 3 Business Concerns in Program Year 2024 and little appetite for the Program from the Haverhill Housing Authority residents. </w:t>
      </w:r>
    </w:p>
    <w:p w14:paraId="2DCBCF09" w14:textId="77777777" w:rsidR="00E2285C" w:rsidRDefault="00730313">
      <w:pPr>
        <w:widowControl w:val="0"/>
        <w:spacing w:beforeAutospacing="1" w:afterAutospacing="1"/>
        <w:rPr>
          <w:rFonts w:cs="Arial"/>
        </w:rPr>
      </w:pPr>
      <w:r>
        <w:rPr>
          <w:rFonts w:cs="Arial"/>
        </w:rPr>
        <w:t>There have been conversations with MakeIT Haverhill to develop some low-income entrepreneurs into qualified Section 3 businesses, but this fledgling effort requires more focus.  Section 3 is a complex item to communicate to low-income populations, and many of whom may not speak English as a first language.  However, MakeIT Haverhill could play such a role.  MakeIT Haverhill undertakes and specializes in most of the Qualitative Efforts and Activities listed above.  MakeIT Haverhill is responsible for produci</w:t>
      </w:r>
      <w:r>
        <w:rPr>
          <w:rFonts w:cs="Arial"/>
        </w:rPr>
        <w:t xml:space="preserve">ng many of these accomplishment numbers.  The aim is to work with HUD to get MakeIT Haverhill to become a Section 3 certified training outfit, </w:t>
      </w:r>
      <w:proofErr w:type="gramStart"/>
      <w:r>
        <w:rPr>
          <w:rFonts w:cs="Arial"/>
        </w:rPr>
        <w:t>in order to</w:t>
      </w:r>
      <w:proofErr w:type="gramEnd"/>
      <w:r>
        <w:rPr>
          <w:rFonts w:cs="Arial"/>
        </w:rPr>
        <w:t xml:space="preserve"> adequately produce Section 3 certified entities that can fulfill the goals and intent of this federal program in Haverhill.</w:t>
      </w:r>
    </w:p>
    <w:p w14:paraId="7ED24822" w14:textId="77777777" w:rsidR="00E2285C" w:rsidRDefault="00730313">
      <w:pPr>
        <w:widowControl w:val="0"/>
        <w:spacing w:beforeAutospacing="1" w:afterAutospacing="1"/>
        <w:rPr>
          <w:rFonts w:cs="Arial"/>
        </w:rPr>
      </w:pPr>
      <w:r>
        <w:rPr>
          <w:rFonts w:cs="Arial"/>
        </w:rPr>
        <w:t xml:space="preserve">Other possible Section 3 partners include the Haverhill Housing Authority, Greater Haverhill Chamber of Commerce and MassHIRE Career Centers, but their interest and involvement to date have been underwhelming.  Some residents seeking assistance (housing, social services, etc.) from CDBG programs have </w:t>
      </w:r>
      <w:proofErr w:type="gramStart"/>
      <w:r>
        <w:rPr>
          <w:rFonts w:cs="Arial"/>
        </w:rPr>
        <w:t>been connected with</w:t>
      </w:r>
      <w:proofErr w:type="gramEnd"/>
      <w:r>
        <w:rPr>
          <w:rFonts w:cs="Arial"/>
        </w:rPr>
        <w:t xml:space="preserve"> the Career Technical Initiative at Whittier Vocational Technical School to increase their training, and some contractors have done the same for their workers.</w:t>
      </w:r>
    </w:p>
    <w:p w14:paraId="64264592" w14:textId="77777777" w:rsidR="00E2285C" w:rsidRDefault="00730313">
      <w:pPr>
        <w:widowControl w:val="0"/>
        <w:spacing w:beforeAutospacing="1" w:afterAutospacing="1"/>
        <w:rPr>
          <w:rFonts w:cs="Arial"/>
        </w:rPr>
      </w:pPr>
      <w:r>
        <w:rPr>
          <w:rFonts w:cs="Arial"/>
        </w:rPr>
        <w:t>In addition to MakeIT Haverhill, the City can reach out to some labor union locals to see if they can assist with generating more Section 3 qualified entities, which the City would be interested in using on various projects.  However, most union trainees are already hired by non-Section 3 businesses as feeder programs, which is an undeniably positive outcome regardless of Section 3.</w:t>
      </w:r>
    </w:p>
    <w:p w14:paraId="2B47F0BF" w14:textId="77777777" w:rsidR="00E2285C" w:rsidRDefault="00730313">
      <w:pPr>
        <w:widowControl w:val="0"/>
        <w:spacing w:beforeAutospacing="1" w:afterAutospacing="1"/>
        <w:rPr>
          <w:rFonts w:cs="Arial"/>
        </w:rPr>
      </w:pPr>
      <w:r>
        <w:rPr>
          <w:rFonts w:cs="Arial"/>
        </w:rPr>
        <w:t>In addition, the Haverhill Latino Coalition is conducting targeted Latino Business Outreach, almost exclusively to small businesses (IDIS #1443), that undertakes some of the Qualitative Efforts listed above, including technical assistance on bidding, creating a Spanish-speaking business registry and conducting financial literacy trainings. </w:t>
      </w:r>
    </w:p>
    <w:p w14:paraId="01EB88C9" w14:textId="77777777" w:rsidR="00E2285C" w:rsidRDefault="00730313">
      <w:pPr>
        <w:widowControl w:val="0"/>
        <w:spacing w:beforeAutospacing="1" w:afterAutospacing="1"/>
        <w:rPr>
          <w:rFonts w:cs="Arial"/>
        </w:rPr>
      </w:pPr>
      <w:r>
        <w:rPr>
          <w:rFonts w:cs="Arial"/>
        </w:rPr>
        <w:t>Section 3 continues to be a massively underutilized tool in Haverhill and regionally.  </w:t>
      </w:r>
    </w:p>
    <w:p w14:paraId="43EB3FBE" w14:textId="77777777" w:rsidR="00E2285C" w:rsidRDefault="00E2285C">
      <w:pPr>
        <w:widowControl w:val="0"/>
        <w:spacing w:beforeAutospacing="1" w:afterAutospacing="1"/>
        <w:rPr>
          <w:rFonts w:cs="Arial"/>
        </w:rPr>
      </w:pPr>
    </w:p>
    <w:p w14:paraId="32F922C2" w14:textId="77777777" w:rsidR="00E2285C" w:rsidRDefault="00E2285C">
      <w:pPr>
        <w:widowControl w:val="0"/>
        <w:spacing w:beforeAutospacing="1" w:afterAutospacing="1"/>
        <w:rPr>
          <w:rFonts w:cs="Arial"/>
        </w:rPr>
      </w:pPr>
    </w:p>
    <w:p w14:paraId="1AB748F1" w14:textId="77777777" w:rsidR="00FE3457" w:rsidRDefault="00FE3457"/>
    <w:p w14:paraId="0475FE93" w14:textId="77777777" w:rsidR="00FE3457" w:rsidRDefault="00FE3457" w:rsidP="0B421CA2">
      <w:pPr>
        <w:pStyle w:val="Heading2"/>
        <w:rPr>
          <w:i w:val="0"/>
          <w:iCs w:val="0"/>
        </w:rPr>
      </w:pPr>
    </w:p>
    <w:p w14:paraId="3DB409A5" w14:textId="77777777" w:rsidR="00FE3457" w:rsidRDefault="00FE3457" w:rsidP="0B421CA2">
      <w:pPr>
        <w:pStyle w:val="Heading2"/>
        <w:rPr>
          <w:i w:val="0"/>
          <w:iCs w:val="0"/>
        </w:rPr>
      </w:pPr>
    </w:p>
    <w:p w14:paraId="3EE2DA48" w14:textId="77777777" w:rsidR="00FE3457" w:rsidRDefault="005268B9" w:rsidP="0B421CA2">
      <w:pPr>
        <w:pStyle w:val="Heading2"/>
        <w:rPr>
          <w:i w:val="0"/>
          <w:iCs w:val="0"/>
        </w:rPr>
      </w:pPr>
      <w:r w:rsidRPr="0B421CA2">
        <w:rPr>
          <w:i w:val="0"/>
          <w:iCs w:val="0"/>
        </w:rPr>
        <w:t>CR-60 - ESG 91.520(g) (ESG Recipients only)</w:t>
      </w:r>
    </w:p>
    <w:p w14:paraId="1FDCBFBE" w14:textId="77777777" w:rsidR="00FE3457" w:rsidRDefault="005268B9">
      <w:pPr>
        <w:jc w:val="center"/>
        <w:rPr>
          <w:b/>
          <w:sz w:val="24"/>
          <w:szCs w:val="24"/>
        </w:rPr>
      </w:pPr>
      <w:r>
        <w:rPr>
          <w:b/>
          <w:sz w:val="24"/>
          <w:szCs w:val="24"/>
        </w:rPr>
        <w:t xml:space="preserve">ESG Supplement to the CAPER in </w:t>
      </w:r>
      <w:r>
        <w:rPr>
          <w:b/>
          <w:i/>
          <w:sz w:val="24"/>
          <w:szCs w:val="24"/>
        </w:rPr>
        <w:t>e-snaps</w:t>
      </w:r>
    </w:p>
    <w:p w14:paraId="72B4AFB7" w14:textId="77777777" w:rsidR="00FE3457" w:rsidRDefault="005268B9">
      <w:pPr>
        <w:jc w:val="center"/>
        <w:rPr>
          <w:b/>
          <w:sz w:val="24"/>
          <w:szCs w:val="24"/>
        </w:rPr>
      </w:pPr>
      <w:r>
        <w:rPr>
          <w:b/>
          <w:sz w:val="24"/>
          <w:szCs w:val="24"/>
        </w:rPr>
        <w:t>For Paperwork Reduction Act</w:t>
      </w:r>
    </w:p>
    <w:p w14:paraId="18C5FB90" w14:textId="77777777" w:rsidR="00FE3457" w:rsidRDefault="005268B9">
      <w:pPr>
        <w:widowControl w:val="0"/>
        <w:spacing w:after="0" w:line="240" w:lineRule="auto"/>
        <w:rPr>
          <w:b/>
          <w:sz w:val="24"/>
          <w:szCs w:val="24"/>
        </w:rPr>
      </w:pPr>
      <w:r>
        <w:rPr>
          <w:b/>
          <w:sz w:val="24"/>
          <w:szCs w:val="24"/>
        </w:rPr>
        <w:t>1. Recipient Information—All Recipients Complete</w:t>
      </w:r>
    </w:p>
    <w:p w14:paraId="7E50955B" w14:textId="77777777" w:rsidR="00FE3457" w:rsidRDefault="005268B9">
      <w:pPr>
        <w:widowControl w:val="0"/>
        <w:spacing w:after="0" w:line="240" w:lineRule="auto"/>
        <w:rPr>
          <w:b/>
          <w:u w:val="single"/>
        </w:rPr>
      </w:pPr>
      <w:r>
        <w:rPr>
          <w:b/>
          <w:u w:val="single"/>
        </w:rPr>
        <w:t>Basic Grant Information</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CB0F017" w14:textId="77777777">
        <w:trPr>
          <w:cantSplit/>
        </w:trPr>
        <w:tc>
          <w:tcPr>
            <w:tcW w:w="4320" w:type="dxa"/>
          </w:tcPr>
          <w:p w14:paraId="747EC049" w14:textId="77777777" w:rsidR="00FE3457" w:rsidRDefault="005268B9">
            <w:pPr>
              <w:tabs>
                <w:tab w:val="left" w:pos="2070"/>
              </w:tabs>
              <w:spacing w:after="0" w:line="240" w:lineRule="auto"/>
              <w:ind w:right="162"/>
            </w:pPr>
            <w:r>
              <w:rPr>
                <w:b/>
                <w:bCs/>
              </w:rPr>
              <w:t>Recipient Name</w:t>
            </w:r>
          </w:p>
        </w:tc>
        <w:tc>
          <w:tcPr>
            <w:tcW w:w="5270" w:type="dxa"/>
          </w:tcPr>
          <w:p w14:paraId="3DA3B704" w14:textId="77777777" w:rsidR="00E2285C" w:rsidRDefault="00730313">
            <w:pPr>
              <w:widowControl w:val="0"/>
              <w:spacing w:beforeAutospacing="1" w:afterAutospacing="1"/>
              <w:rPr>
                <w:rFonts w:cs="Arial"/>
              </w:rPr>
            </w:pPr>
            <w:r>
              <w:rPr>
                <w:rFonts w:cs="Arial"/>
              </w:rPr>
              <w:t>HAVERHILL</w:t>
            </w:r>
          </w:p>
        </w:tc>
      </w:tr>
    </w:tbl>
    <w:p w14:paraId="3AF781D1"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029B37CA" w14:textId="77777777">
        <w:trPr>
          <w:cantSplit/>
        </w:trPr>
        <w:tc>
          <w:tcPr>
            <w:tcW w:w="4320" w:type="dxa"/>
          </w:tcPr>
          <w:p w14:paraId="443BF223" w14:textId="77777777" w:rsidR="00FE3457" w:rsidRDefault="005268B9">
            <w:pPr>
              <w:tabs>
                <w:tab w:val="left" w:pos="2070"/>
              </w:tabs>
              <w:spacing w:after="0" w:line="240" w:lineRule="auto"/>
              <w:ind w:right="162"/>
            </w:pPr>
            <w:r>
              <w:rPr>
                <w:b/>
                <w:bCs/>
              </w:rPr>
              <w:t>Organizational DUNS Number</w:t>
            </w:r>
          </w:p>
        </w:tc>
        <w:tc>
          <w:tcPr>
            <w:tcW w:w="5270" w:type="dxa"/>
          </w:tcPr>
          <w:p w14:paraId="4AC4FFEE" w14:textId="77777777" w:rsidR="00E2285C" w:rsidRDefault="00730313">
            <w:pPr>
              <w:widowControl w:val="0"/>
              <w:spacing w:beforeAutospacing="1" w:afterAutospacing="1"/>
              <w:rPr>
                <w:rFonts w:cs="Arial"/>
              </w:rPr>
            </w:pPr>
            <w:r>
              <w:rPr>
                <w:rFonts w:cs="Arial"/>
              </w:rPr>
              <w:t>783953110</w:t>
            </w:r>
          </w:p>
        </w:tc>
      </w:tr>
    </w:tbl>
    <w:p w14:paraId="17B7EA32"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B9AED0A" w14:textId="77777777">
        <w:trPr>
          <w:cantSplit/>
        </w:trPr>
        <w:tc>
          <w:tcPr>
            <w:tcW w:w="4320" w:type="dxa"/>
            <w:hideMark/>
          </w:tcPr>
          <w:p w14:paraId="05A04148" w14:textId="77777777" w:rsidR="00FE3457" w:rsidRDefault="005268B9">
            <w:pPr>
              <w:tabs>
                <w:tab w:val="left" w:pos="2070"/>
              </w:tabs>
              <w:spacing w:after="0" w:line="240" w:lineRule="auto"/>
              <w:ind w:right="162"/>
            </w:pPr>
            <w:r>
              <w:rPr>
                <w:b/>
                <w:bCs/>
              </w:rPr>
              <w:t>UEI</w:t>
            </w:r>
          </w:p>
        </w:tc>
        <w:tc>
          <w:tcPr>
            <w:tcW w:w="5270" w:type="dxa"/>
            <w:hideMark/>
          </w:tcPr>
          <w:p w14:paraId="6FF52BB7" w14:textId="77777777" w:rsidR="00FE3457" w:rsidRDefault="00FE3457">
            <w:pPr>
              <w:widowControl w:val="0"/>
              <w:spacing w:after="0" w:line="240" w:lineRule="auto"/>
              <w:rPr>
                <w:rFonts w:cs="Arial"/>
              </w:rPr>
            </w:pPr>
          </w:p>
        </w:tc>
      </w:tr>
    </w:tbl>
    <w:p w14:paraId="71845F4A"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0A28BDF" w14:textId="77777777">
        <w:trPr>
          <w:cantSplit/>
        </w:trPr>
        <w:tc>
          <w:tcPr>
            <w:tcW w:w="4320" w:type="dxa"/>
          </w:tcPr>
          <w:p w14:paraId="7E487EBC" w14:textId="77777777" w:rsidR="00FE3457" w:rsidRDefault="005268B9">
            <w:pPr>
              <w:tabs>
                <w:tab w:val="left" w:pos="2070"/>
              </w:tabs>
              <w:spacing w:after="0" w:line="240" w:lineRule="auto"/>
              <w:ind w:right="162"/>
            </w:pPr>
            <w:r>
              <w:rPr>
                <w:b/>
                <w:bCs/>
              </w:rPr>
              <w:t>EIN/TIN Number</w:t>
            </w:r>
          </w:p>
        </w:tc>
        <w:tc>
          <w:tcPr>
            <w:tcW w:w="5270" w:type="dxa"/>
          </w:tcPr>
          <w:p w14:paraId="3E32DF05" w14:textId="77777777" w:rsidR="00E2285C" w:rsidRDefault="00730313">
            <w:pPr>
              <w:widowControl w:val="0"/>
              <w:spacing w:beforeAutospacing="1" w:afterAutospacing="1"/>
              <w:rPr>
                <w:rFonts w:cs="Arial"/>
              </w:rPr>
            </w:pPr>
            <w:r>
              <w:rPr>
                <w:rFonts w:cs="Arial"/>
              </w:rPr>
              <w:t>046001392</w:t>
            </w:r>
          </w:p>
        </w:tc>
      </w:tr>
    </w:tbl>
    <w:p w14:paraId="36DCC7AC"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E615933" w14:textId="77777777">
        <w:trPr>
          <w:cantSplit/>
        </w:trPr>
        <w:tc>
          <w:tcPr>
            <w:tcW w:w="4320" w:type="dxa"/>
          </w:tcPr>
          <w:p w14:paraId="4EE4ED45" w14:textId="77777777" w:rsidR="00FE3457" w:rsidRDefault="005268B9">
            <w:pPr>
              <w:tabs>
                <w:tab w:val="left" w:pos="2070"/>
              </w:tabs>
              <w:spacing w:after="0" w:line="240" w:lineRule="auto"/>
              <w:ind w:right="162"/>
            </w:pPr>
            <w:proofErr w:type="spellStart"/>
            <w:r>
              <w:rPr>
                <w:b/>
                <w:bCs/>
              </w:rPr>
              <w:t>Indentify</w:t>
            </w:r>
            <w:proofErr w:type="spellEnd"/>
            <w:r>
              <w:rPr>
                <w:b/>
                <w:bCs/>
              </w:rPr>
              <w:t xml:space="preserve"> the Field Office</w:t>
            </w:r>
          </w:p>
        </w:tc>
        <w:tc>
          <w:tcPr>
            <w:tcW w:w="5270" w:type="dxa"/>
          </w:tcPr>
          <w:p w14:paraId="3F6F5D76" w14:textId="77777777" w:rsidR="00E2285C" w:rsidRDefault="00730313">
            <w:pPr>
              <w:widowControl w:val="0"/>
              <w:spacing w:beforeAutospacing="1" w:afterAutospacing="1"/>
              <w:rPr>
                <w:rFonts w:cs="Arial"/>
              </w:rPr>
            </w:pPr>
            <w:r>
              <w:rPr>
                <w:rFonts w:cs="Arial"/>
              </w:rPr>
              <w:t>BOSTON</w:t>
            </w:r>
          </w:p>
        </w:tc>
      </w:tr>
    </w:tbl>
    <w:p w14:paraId="67A7D17E"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59BF75E" w14:textId="77777777">
        <w:trPr>
          <w:cantSplit/>
        </w:trPr>
        <w:tc>
          <w:tcPr>
            <w:tcW w:w="4320" w:type="dxa"/>
          </w:tcPr>
          <w:p w14:paraId="2C1CB20E" w14:textId="77777777" w:rsidR="00FE3457" w:rsidRDefault="005268B9">
            <w:pPr>
              <w:tabs>
                <w:tab w:val="left" w:pos="2070"/>
              </w:tabs>
              <w:spacing w:after="0" w:line="240" w:lineRule="auto"/>
              <w:ind w:right="162"/>
            </w:pPr>
            <w:r>
              <w:rPr>
                <w:b/>
                <w:bCs/>
              </w:rPr>
              <w:t>Identify CoC(s) in which the recipient or subrecipient(s) will provide ESG assistance</w:t>
            </w:r>
          </w:p>
        </w:tc>
        <w:tc>
          <w:tcPr>
            <w:tcW w:w="5270" w:type="dxa"/>
          </w:tcPr>
          <w:p w14:paraId="63E79069" w14:textId="77777777" w:rsidR="00FE3457" w:rsidRDefault="00FE3457">
            <w:pPr>
              <w:widowControl w:val="0"/>
              <w:spacing w:after="0" w:line="240" w:lineRule="auto"/>
              <w:rPr>
                <w:rFonts w:cs="Arial"/>
              </w:rPr>
            </w:pPr>
          </w:p>
        </w:tc>
      </w:tr>
    </w:tbl>
    <w:p w14:paraId="0B6DA838" w14:textId="77777777" w:rsidR="00FE3457" w:rsidRDefault="00FE3457">
      <w:pPr>
        <w:widowControl w:val="0"/>
        <w:spacing w:after="0" w:line="240" w:lineRule="auto"/>
        <w:rPr>
          <w:b/>
          <w:sz w:val="24"/>
          <w:szCs w:val="24"/>
        </w:rPr>
      </w:pPr>
    </w:p>
    <w:p w14:paraId="08DB225F" w14:textId="77777777" w:rsidR="00FE3457" w:rsidRDefault="005268B9">
      <w:pPr>
        <w:pStyle w:val="NoSpacing"/>
        <w:keepNext/>
        <w:rPr>
          <w:b/>
          <w:u w:val="single"/>
        </w:rPr>
      </w:pPr>
      <w:r>
        <w:rPr>
          <w:b/>
          <w:u w:val="single"/>
        </w:rPr>
        <w:t xml:space="preserve">ESG Contact Name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5899199" w14:textId="77777777">
        <w:trPr>
          <w:cantSplit/>
        </w:trPr>
        <w:tc>
          <w:tcPr>
            <w:tcW w:w="4320" w:type="dxa"/>
          </w:tcPr>
          <w:p w14:paraId="59C24890" w14:textId="77777777" w:rsidR="00FE3457" w:rsidRDefault="005268B9">
            <w:pPr>
              <w:keepNext/>
              <w:tabs>
                <w:tab w:val="left" w:pos="2070"/>
              </w:tabs>
              <w:spacing w:after="0" w:line="240" w:lineRule="auto"/>
              <w:ind w:right="162"/>
            </w:pPr>
            <w:r>
              <w:rPr>
                <w:b/>
                <w:bCs/>
              </w:rPr>
              <w:t>Prefix</w:t>
            </w:r>
          </w:p>
        </w:tc>
        <w:tc>
          <w:tcPr>
            <w:tcW w:w="5270" w:type="dxa"/>
          </w:tcPr>
          <w:p w14:paraId="0D66A30B" w14:textId="77777777" w:rsidR="00FE3457" w:rsidRDefault="00FE3457">
            <w:pPr>
              <w:keepNext/>
              <w:widowControl w:val="0"/>
              <w:spacing w:after="0" w:line="240" w:lineRule="auto"/>
              <w:rPr>
                <w:rFonts w:cs="Arial"/>
              </w:rPr>
            </w:pPr>
          </w:p>
        </w:tc>
      </w:tr>
    </w:tbl>
    <w:p w14:paraId="79A361B0"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5D08F05" w14:textId="77777777">
        <w:trPr>
          <w:cantSplit/>
        </w:trPr>
        <w:tc>
          <w:tcPr>
            <w:tcW w:w="4320" w:type="dxa"/>
          </w:tcPr>
          <w:p w14:paraId="0BE7853E" w14:textId="77777777" w:rsidR="00FE3457" w:rsidRDefault="005268B9">
            <w:pPr>
              <w:tabs>
                <w:tab w:val="left" w:pos="2070"/>
              </w:tabs>
              <w:spacing w:after="0" w:line="240" w:lineRule="auto"/>
              <w:ind w:right="162"/>
            </w:pPr>
            <w:r>
              <w:rPr>
                <w:b/>
                <w:bCs/>
              </w:rPr>
              <w:t>First Name</w:t>
            </w:r>
          </w:p>
        </w:tc>
        <w:tc>
          <w:tcPr>
            <w:tcW w:w="5270" w:type="dxa"/>
          </w:tcPr>
          <w:p w14:paraId="4BEF4901" w14:textId="77777777" w:rsidR="00FE3457" w:rsidRDefault="00FE3457">
            <w:pPr>
              <w:widowControl w:val="0"/>
              <w:spacing w:after="0" w:line="240" w:lineRule="auto"/>
              <w:rPr>
                <w:rFonts w:cs="Arial"/>
                <w:highlight w:val="yellow"/>
              </w:rPr>
            </w:pPr>
          </w:p>
        </w:tc>
      </w:tr>
    </w:tbl>
    <w:p w14:paraId="1D0B7CA0"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79F72F7C" w14:textId="77777777">
        <w:trPr>
          <w:cantSplit/>
        </w:trPr>
        <w:tc>
          <w:tcPr>
            <w:tcW w:w="4320" w:type="dxa"/>
          </w:tcPr>
          <w:p w14:paraId="5CB8B661" w14:textId="77777777" w:rsidR="00FE3457" w:rsidRDefault="005268B9">
            <w:pPr>
              <w:tabs>
                <w:tab w:val="left" w:pos="2070"/>
              </w:tabs>
              <w:spacing w:after="0" w:line="240" w:lineRule="auto"/>
              <w:ind w:right="162"/>
            </w:pPr>
            <w:r>
              <w:rPr>
                <w:b/>
                <w:bCs/>
              </w:rPr>
              <w:t>Middle Name</w:t>
            </w:r>
          </w:p>
        </w:tc>
        <w:tc>
          <w:tcPr>
            <w:tcW w:w="5270" w:type="dxa"/>
          </w:tcPr>
          <w:p w14:paraId="3539802E" w14:textId="77777777" w:rsidR="00FE3457" w:rsidRDefault="00FE3457">
            <w:pPr>
              <w:widowControl w:val="0"/>
              <w:spacing w:after="0" w:line="240" w:lineRule="auto"/>
              <w:rPr>
                <w:rFonts w:cs="Arial"/>
                <w:highlight w:val="yellow"/>
              </w:rPr>
            </w:pPr>
          </w:p>
        </w:tc>
      </w:tr>
    </w:tbl>
    <w:p w14:paraId="1AE5B2E4"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7766B89" w14:textId="77777777">
        <w:trPr>
          <w:cantSplit/>
        </w:trPr>
        <w:tc>
          <w:tcPr>
            <w:tcW w:w="4320" w:type="dxa"/>
          </w:tcPr>
          <w:p w14:paraId="790C9EA1" w14:textId="77777777" w:rsidR="00FE3457" w:rsidRDefault="005268B9">
            <w:pPr>
              <w:tabs>
                <w:tab w:val="left" w:pos="2070"/>
              </w:tabs>
              <w:spacing w:after="0" w:line="240" w:lineRule="auto"/>
              <w:ind w:right="162"/>
            </w:pPr>
            <w:r>
              <w:rPr>
                <w:b/>
                <w:bCs/>
              </w:rPr>
              <w:t>Last Name</w:t>
            </w:r>
          </w:p>
        </w:tc>
        <w:tc>
          <w:tcPr>
            <w:tcW w:w="5270" w:type="dxa"/>
          </w:tcPr>
          <w:p w14:paraId="742E8377" w14:textId="77777777" w:rsidR="00FE3457" w:rsidRDefault="00FE3457">
            <w:pPr>
              <w:widowControl w:val="0"/>
              <w:spacing w:after="0" w:line="240" w:lineRule="auto"/>
              <w:rPr>
                <w:rFonts w:cs="Arial"/>
                <w:highlight w:val="yellow"/>
              </w:rPr>
            </w:pPr>
          </w:p>
        </w:tc>
      </w:tr>
    </w:tbl>
    <w:p w14:paraId="5508319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6EC5B617" w14:textId="77777777">
        <w:trPr>
          <w:cantSplit/>
        </w:trPr>
        <w:tc>
          <w:tcPr>
            <w:tcW w:w="4320" w:type="dxa"/>
          </w:tcPr>
          <w:p w14:paraId="36648C36" w14:textId="77777777" w:rsidR="00FE3457" w:rsidRDefault="005268B9">
            <w:pPr>
              <w:tabs>
                <w:tab w:val="left" w:pos="2070"/>
              </w:tabs>
              <w:spacing w:after="0" w:line="240" w:lineRule="auto"/>
              <w:ind w:right="162"/>
            </w:pPr>
            <w:r>
              <w:rPr>
                <w:b/>
                <w:bCs/>
              </w:rPr>
              <w:t>Suffix</w:t>
            </w:r>
          </w:p>
        </w:tc>
        <w:tc>
          <w:tcPr>
            <w:tcW w:w="5270" w:type="dxa"/>
          </w:tcPr>
          <w:p w14:paraId="4A63B93A" w14:textId="77777777" w:rsidR="00FE3457" w:rsidRDefault="00FE3457">
            <w:pPr>
              <w:widowControl w:val="0"/>
              <w:spacing w:after="0" w:line="240" w:lineRule="auto"/>
              <w:rPr>
                <w:rFonts w:cs="Arial"/>
                <w:highlight w:val="yellow"/>
              </w:rPr>
            </w:pPr>
          </w:p>
        </w:tc>
      </w:tr>
    </w:tbl>
    <w:p w14:paraId="31E79042"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7394EF78" w14:textId="77777777">
        <w:trPr>
          <w:cantSplit/>
        </w:trPr>
        <w:tc>
          <w:tcPr>
            <w:tcW w:w="4320" w:type="dxa"/>
          </w:tcPr>
          <w:p w14:paraId="1B961037" w14:textId="77777777" w:rsidR="00FE3457" w:rsidRDefault="005268B9">
            <w:pPr>
              <w:tabs>
                <w:tab w:val="left" w:pos="2070"/>
              </w:tabs>
              <w:spacing w:after="0" w:line="240" w:lineRule="auto"/>
              <w:ind w:right="162"/>
            </w:pPr>
            <w:r>
              <w:rPr>
                <w:b/>
                <w:bCs/>
              </w:rPr>
              <w:t>Title</w:t>
            </w:r>
          </w:p>
        </w:tc>
        <w:tc>
          <w:tcPr>
            <w:tcW w:w="5270" w:type="dxa"/>
          </w:tcPr>
          <w:p w14:paraId="66F8D875" w14:textId="77777777" w:rsidR="00FE3457" w:rsidRDefault="00FE3457">
            <w:pPr>
              <w:widowControl w:val="0"/>
              <w:spacing w:after="0" w:line="240" w:lineRule="auto"/>
              <w:rPr>
                <w:rFonts w:cs="Arial"/>
                <w:highlight w:val="yellow"/>
              </w:rPr>
            </w:pPr>
          </w:p>
        </w:tc>
      </w:tr>
    </w:tbl>
    <w:p w14:paraId="33B3CF2C" w14:textId="77777777" w:rsidR="00FE3457" w:rsidRDefault="00FE3457">
      <w:pPr>
        <w:widowControl w:val="0"/>
        <w:spacing w:after="0" w:line="240" w:lineRule="auto"/>
        <w:rPr>
          <w:b/>
          <w:sz w:val="24"/>
          <w:szCs w:val="24"/>
        </w:rPr>
      </w:pPr>
    </w:p>
    <w:p w14:paraId="141F9923" w14:textId="77777777" w:rsidR="00FE3457" w:rsidRDefault="005268B9">
      <w:pPr>
        <w:widowControl w:val="0"/>
        <w:spacing w:after="0" w:line="240" w:lineRule="auto"/>
        <w:rPr>
          <w:b/>
          <w:u w:val="single"/>
        </w:rPr>
      </w:pPr>
      <w:r>
        <w:rPr>
          <w:b/>
          <w:u w:val="single"/>
        </w:rPr>
        <w:t>ESG Contact Address</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EF86C17" w14:textId="77777777">
        <w:trPr>
          <w:cantSplit/>
        </w:trPr>
        <w:tc>
          <w:tcPr>
            <w:tcW w:w="4320" w:type="dxa"/>
          </w:tcPr>
          <w:p w14:paraId="1B429880" w14:textId="77777777" w:rsidR="00FE3457" w:rsidRDefault="005268B9">
            <w:pPr>
              <w:keepNext/>
              <w:tabs>
                <w:tab w:val="left" w:pos="2070"/>
              </w:tabs>
              <w:spacing w:after="0" w:line="240" w:lineRule="auto"/>
              <w:ind w:right="162"/>
            </w:pPr>
            <w:r>
              <w:rPr>
                <w:b/>
                <w:bCs/>
              </w:rPr>
              <w:t>Street Address 1</w:t>
            </w:r>
          </w:p>
        </w:tc>
        <w:tc>
          <w:tcPr>
            <w:tcW w:w="5270" w:type="dxa"/>
          </w:tcPr>
          <w:p w14:paraId="64E13699" w14:textId="77777777" w:rsidR="00FE3457" w:rsidRDefault="00FE3457">
            <w:pPr>
              <w:keepNext/>
              <w:widowControl w:val="0"/>
              <w:spacing w:after="0" w:line="240" w:lineRule="auto"/>
              <w:rPr>
                <w:rFonts w:cs="Arial"/>
              </w:rPr>
            </w:pPr>
          </w:p>
        </w:tc>
      </w:tr>
    </w:tbl>
    <w:p w14:paraId="0B578666"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B586FB6" w14:textId="77777777">
        <w:trPr>
          <w:cantSplit/>
        </w:trPr>
        <w:tc>
          <w:tcPr>
            <w:tcW w:w="4320" w:type="dxa"/>
          </w:tcPr>
          <w:p w14:paraId="37CBBAF1" w14:textId="77777777" w:rsidR="00FE3457" w:rsidRDefault="005268B9">
            <w:pPr>
              <w:tabs>
                <w:tab w:val="left" w:pos="2070"/>
              </w:tabs>
              <w:spacing w:after="0" w:line="240" w:lineRule="auto"/>
              <w:ind w:right="162"/>
            </w:pPr>
            <w:r>
              <w:rPr>
                <w:b/>
                <w:bCs/>
              </w:rPr>
              <w:t>Street Address 2</w:t>
            </w:r>
          </w:p>
        </w:tc>
        <w:tc>
          <w:tcPr>
            <w:tcW w:w="5270" w:type="dxa"/>
          </w:tcPr>
          <w:p w14:paraId="1DCF78C2" w14:textId="77777777" w:rsidR="00FE3457" w:rsidRDefault="00FE3457">
            <w:pPr>
              <w:widowControl w:val="0"/>
              <w:spacing w:after="0" w:line="240" w:lineRule="auto"/>
              <w:rPr>
                <w:rFonts w:cs="Arial"/>
                <w:highlight w:val="yellow"/>
              </w:rPr>
            </w:pPr>
          </w:p>
        </w:tc>
      </w:tr>
    </w:tbl>
    <w:p w14:paraId="4AC26CA9"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CAD915A" w14:textId="77777777">
        <w:trPr>
          <w:cantSplit/>
        </w:trPr>
        <w:tc>
          <w:tcPr>
            <w:tcW w:w="4320" w:type="dxa"/>
          </w:tcPr>
          <w:p w14:paraId="1FCF7D8B" w14:textId="77777777" w:rsidR="00FE3457" w:rsidRDefault="005268B9">
            <w:pPr>
              <w:tabs>
                <w:tab w:val="left" w:pos="2070"/>
              </w:tabs>
              <w:spacing w:after="0" w:line="240" w:lineRule="auto"/>
              <w:ind w:right="162"/>
            </w:pPr>
            <w:r>
              <w:rPr>
                <w:b/>
                <w:bCs/>
              </w:rPr>
              <w:t>City</w:t>
            </w:r>
          </w:p>
        </w:tc>
        <w:tc>
          <w:tcPr>
            <w:tcW w:w="5270" w:type="dxa"/>
          </w:tcPr>
          <w:p w14:paraId="760FF16B" w14:textId="77777777" w:rsidR="00FE3457" w:rsidRDefault="00FE3457">
            <w:pPr>
              <w:widowControl w:val="0"/>
              <w:spacing w:after="0" w:line="240" w:lineRule="auto"/>
              <w:rPr>
                <w:rFonts w:cs="Arial"/>
                <w:highlight w:val="yellow"/>
              </w:rPr>
            </w:pPr>
          </w:p>
        </w:tc>
      </w:tr>
    </w:tbl>
    <w:p w14:paraId="09AE10BA"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3B8790A" w14:textId="77777777">
        <w:trPr>
          <w:cantSplit/>
        </w:trPr>
        <w:tc>
          <w:tcPr>
            <w:tcW w:w="4320" w:type="dxa"/>
          </w:tcPr>
          <w:p w14:paraId="75C459AD" w14:textId="77777777" w:rsidR="00FE3457" w:rsidRDefault="005268B9">
            <w:pPr>
              <w:tabs>
                <w:tab w:val="left" w:pos="2070"/>
              </w:tabs>
              <w:spacing w:after="0" w:line="240" w:lineRule="auto"/>
              <w:ind w:right="162"/>
            </w:pPr>
            <w:r>
              <w:rPr>
                <w:b/>
                <w:bCs/>
              </w:rPr>
              <w:t>State</w:t>
            </w:r>
          </w:p>
        </w:tc>
        <w:tc>
          <w:tcPr>
            <w:tcW w:w="5270" w:type="dxa"/>
          </w:tcPr>
          <w:p w14:paraId="08B14533" w14:textId="77777777" w:rsidR="00FE3457" w:rsidRDefault="00FE3457">
            <w:pPr>
              <w:widowControl w:val="0"/>
              <w:spacing w:after="0" w:line="240" w:lineRule="auto"/>
              <w:rPr>
                <w:rFonts w:cs="Arial"/>
                <w:highlight w:val="yellow"/>
              </w:rPr>
            </w:pPr>
          </w:p>
        </w:tc>
      </w:tr>
    </w:tbl>
    <w:p w14:paraId="2708415C"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F35787C" w14:textId="77777777">
        <w:trPr>
          <w:cantSplit/>
        </w:trPr>
        <w:tc>
          <w:tcPr>
            <w:tcW w:w="4320" w:type="dxa"/>
          </w:tcPr>
          <w:p w14:paraId="02C04044" w14:textId="77777777" w:rsidR="00FE3457" w:rsidRDefault="005268B9">
            <w:pPr>
              <w:tabs>
                <w:tab w:val="left" w:pos="2070"/>
              </w:tabs>
              <w:spacing w:after="0" w:line="240" w:lineRule="auto"/>
              <w:ind w:right="162"/>
            </w:pPr>
            <w:r>
              <w:rPr>
                <w:b/>
                <w:bCs/>
              </w:rPr>
              <w:t>ZIP Code</w:t>
            </w:r>
          </w:p>
        </w:tc>
        <w:tc>
          <w:tcPr>
            <w:tcW w:w="5270" w:type="dxa"/>
          </w:tcPr>
          <w:p w14:paraId="246E1C04" w14:textId="77777777" w:rsidR="00E2285C" w:rsidRDefault="00730313">
            <w:pPr>
              <w:widowControl w:val="0"/>
              <w:spacing w:beforeAutospacing="1" w:afterAutospacing="1"/>
              <w:rPr>
                <w:rFonts w:cs="Arial"/>
                <w:highlight w:val="yellow"/>
              </w:rPr>
            </w:pPr>
            <w:r>
              <w:rPr>
                <w:rFonts w:cs="Arial"/>
              </w:rPr>
              <w:t>-</w:t>
            </w:r>
          </w:p>
        </w:tc>
      </w:tr>
    </w:tbl>
    <w:p w14:paraId="315BEBEA"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6022ED09" w14:textId="77777777">
        <w:trPr>
          <w:cantSplit/>
        </w:trPr>
        <w:tc>
          <w:tcPr>
            <w:tcW w:w="4320" w:type="dxa"/>
          </w:tcPr>
          <w:p w14:paraId="2E7632B2" w14:textId="77777777" w:rsidR="00FE3457" w:rsidRDefault="005268B9">
            <w:pPr>
              <w:tabs>
                <w:tab w:val="left" w:pos="2070"/>
              </w:tabs>
              <w:spacing w:after="0" w:line="240" w:lineRule="auto"/>
              <w:ind w:right="162"/>
            </w:pPr>
            <w:r>
              <w:rPr>
                <w:b/>
                <w:bCs/>
              </w:rPr>
              <w:t>Phone Number</w:t>
            </w:r>
          </w:p>
        </w:tc>
        <w:tc>
          <w:tcPr>
            <w:tcW w:w="5270" w:type="dxa"/>
          </w:tcPr>
          <w:p w14:paraId="0783A378" w14:textId="77777777" w:rsidR="00FE3457" w:rsidRDefault="00FE3457">
            <w:pPr>
              <w:widowControl w:val="0"/>
              <w:spacing w:after="0" w:line="240" w:lineRule="auto"/>
              <w:rPr>
                <w:rFonts w:cs="Arial"/>
                <w:highlight w:val="yellow"/>
              </w:rPr>
            </w:pPr>
          </w:p>
        </w:tc>
      </w:tr>
    </w:tbl>
    <w:p w14:paraId="36EC662F"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0B119EB7" w14:textId="77777777">
        <w:trPr>
          <w:cantSplit/>
        </w:trPr>
        <w:tc>
          <w:tcPr>
            <w:tcW w:w="4320" w:type="dxa"/>
          </w:tcPr>
          <w:p w14:paraId="2618F2D7" w14:textId="77777777" w:rsidR="00FE3457" w:rsidRDefault="005268B9">
            <w:pPr>
              <w:tabs>
                <w:tab w:val="left" w:pos="2070"/>
              </w:tabs>
              <w:spacing w:after="0" w:line="240" w:lineRule="auto"/>
              <w:ind w:right="162"/>
            </w:pPr>
            <w:r>
              <w:rPr>
                <w:b/>
                <w:bCs/>
              </w:rPr>
              <w:t>Extension</w:t>
            </w:r>
          </w:p>
        </w:tc>
        <w:tc>
          <w:tcPr>
            <w:tcW w:w="5270" w:type="dxa"/>
          </w:tcPr>
          <w:p w14:paraId="2628ECD0" w14:textId="77777777" w:rsidR="00FE3457" w:rsidRDefault="00FE3457">
            <w:pPr>
              <w:widowControl w:val="0"/>
              <w:spacing w:after="0" w:line="240" w:lineRule="auto"/>
              <w:rPr>
                <w:rFonts w:cs="Arial"/>
                <w:highlight w:val="yellow"/>
              </w:rPr>
            </w:pPr>
          </w:p>
        </w:tc>
      </w:tr>
    </w:tbl>
    <w:p w14:paraId="3E0279F8"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A1E20F1" w14:textId="77777777">
        <w:trPr>
          <w:cantSplit/>
        </w:trPr>
        <w:tc>
          <w:tcPr>
            <w:tcW w:w="4320" w:type="dxa"/>
          </w:tcPr>
          <w:p w14:paraId="000DEE5F" w14:textId="77777777" w:rsidR="00FE3457" w:rsidRDefault="005268B9">
            <w:pPr>
              <w:tabs>
                <w:tab w:val="left" w:pos="2070"/>
              </w:tabs>
              <w:spacing w:after="0" w:line="240" w:lineRule="auto"/>
              <w:ind w:right="162"/>
            </w:pPr>
            <w:r>
              <w:rPr>
                <w:b/>
                <w:bCs/>
              </w:rPr>
              <w:t>Fax Number</w:t>
            </w:r>
          </w:p>
        </w:tc>
        <w:tc>
          <w:tcPr>
            <w:tcW w:w="5270" w:type="dxa"/>
          </w:tcPr>
          <w:p w14:paraId="317E6CBB" w14:textId="77777777" w:rsidR="00FE3457" w:rsidRDefault="00FE3457">
            <w:pPr>
              <w:widowControl w:val="0"/>
              <w:spacing w:after="0" w:line="240" w:lineRule="auto"/>
              <w:rPr>
                <w:rFonts w:cs="Arial"/>
                <w:highlight w:val="yellow"/>
              </w:rPr>
            </w:pPr>
          </w:p>
        </w:tc>
      </w:tr>
    </w:tbl>
    <w:p w14:paraId="50E2B150"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D70B6B5" w14:textId="77777777">
        <w:trPr>
          <w:cantSplit/>
        </w:trPr>
        <w:tc>
          <w:tcPr>
            <w:tcW w:w="4320" w:type="dxa"/>
          </w:tcPr>
          <w:p w14:paraId="23B93C41" w14:textId="77777777" w:rsidR="00FE3457" w:rsidRDefault="005268B9">
            <w:pPr>
              <w:tabs>
                <w:tab w:val="left" w:pos="2070"/>
              </w:tabs>
              <w:spacing w:after="0" w:line="240" w:lineRule="auto"/>
              <w:ind w:right="162"/>
            </w:pPr>
            <w:r>
              <w:rPr>
                <w:b/>
                <w:bCs/>
              </w:rPr>
              <w:t>Email Address</w:t>
            </w:r>
          </w:p>
        </w:tc>
        <w:tc>
          <w:tcPr>
            <w:tcW w:w="5270" w:type="dxa"/>
          </w:tcPr>
          <w:p w14:paraId="14495C90" w14:textId="77777777" w:rsidR="00FE3457" w:rsidRDefault="00FE3457">
            <w:pPr>
              <w:widowControl w:val="0"/>
              <w:spacing w:after="0" w:line="240" w:lineRule="auto"/>
              <w:rPr>
                <w:rFonts w:cs="Arial"/>
                <w:highlight w:val="yellow"/>
              </w:rPr>
            </w:pPr>
          </w:p>
        </w:tc>
      </w:tr>
    </w:tbl>
    <w:p w14:paraId="481E3903" w14:textId="77777777" w:rsidR="00FE3457" w:rsidRDefault="00FE3457">
      <w:pPr>
        <w:widowControl w:val="0"/>
        <w:spacing w:after="0" w:line="240" w:lineRule="auto"/>
        <w:rPr>
          <w:b/>
          <w:sz w:val="24"/>
          <w:szCs w:val="24"/>
        </w:rPr>
      </w:pPr>
    </w:p>
    <w:p w14:paraId="4A7DFA36" w14:textId="77777777" w:rsidR="00FE3457" w:rsidRDefault="005268B9">
      <w:pPr>
        <w:widowControl w:val="0"/>
        <w:spacing w:after="0" w:line="240" w:lineRule="auto"/>
        <w:rPr>
          <w:b/>
          <w:sz w:val="24"/>
          <w:szCs w:val="24"/>
        </w:rPr>
      </w:pPr>
      <w:r>
        <w:rPr>
          <w:b/>
          <w:u w:val="single"/>
        </w:rPr>
        <w:t>ESG Secondary Contact</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79AF05E" w14:textId="77777777">
        <w:trPr>
          <w:cantSplit/>
        </w:trPr>
        <w:tc>
          <w:tcPr>
            <w:tcW w:w="4320" w:type="dxa"/>
          </w:tcPr>
          <w:p w14:paraId="5DF4C674" w14:textId="77777777" w:rsidR="00FE3457" w:rsidRDefault="005268B9">
            <w:pPr>
              <w:keepNext/>
              <w:tabs>
                <w:tab w:val="left" w:pos="2070"/>
              </w:tabs>
              <w:spacing w:after="0" w:line="240" w:lineRule="auto"/>
              <w:ind w:right="162"/>
            </w:pPr>
            <w:r>
              <w:rPr>
                <w:b/>
                <w:bCs/>
              </w:rPr>
              <w:t>Prefix</w:t>
            </w:r>
          </w:p>
        </w:tc>
        <w:tc>
          <w:tcPr>
            <w:tcW w:w="5270" w:type="dxa"/>
          </w:tcPr>
          <w:p w14:paraId="126E2C01" w14:textId="77777777" w:rsidR="00FE3457" w:rsidRDefault="00FE3457">
            <w:pPr>
              <w:keepNext/>
              <w:widowControl w:val="0"/>
              <w:spacing w:after="0" w:line="240" w:lineRule="auto"/>
              <w:rPr>
                <w:rFonts w:cs="Arial"/>
              </w:rPr>
            </w:pPr>
          </w:p>
        </w:tc>
      </w:tr>
    </w:tbl>
    <w:p w14:paraId="7E03FCFE"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3A9314CC" w14:textId="77777777">
        <w:trPr>
          <w:cantSplit/>
        </w:trPr>
        <w:tc>
          <w:tcPr>
            <w:tcW w:w="4320" w:type="dxa"/>
          </w:tcPr>
          <w:p w14:paraId="7A0D9AF9" w14:textId="77777777" w:rsidR="00FE3457" w:rsidRDefault="005268B9">
            <w:pPr>
              <w:tabs>
                <w:tab w:val="left" w:pos="2070"/>
              </w:tabs>
              <w:spacing w:after="0" w:line="240" w:lineRule="auto"/>
              <w:ind w:right="162"/>
            </w:pPr>
            <w:r>
              <w:rPr>
                <w:b/>
                <w:bCs/>
              </w:rPr>
              <w:t>First Name</w:t>
            </w:r>
          </w:p>
        </w:tc>
        <w:tc>
          <w:tcPr>
            <w:tcW w:w="5270" w:type="dxa"/>
          </w:tcPr>
          <w:p w14:paraId="76FF48A7" w14:textId="77777777" w:rsidR="00FE3457" w:rsidRDefault="00FE3457">
            <w:pPr>
              <w:widowControl w:val="0"/>
              <w:spacing w:after="0" w:line="240" w:lineRule="auto"/>
              <w:rPr>
                <w:rFonts w:cs="Arial"/>
                <w:highlight w:val="yellow"/>
              </w:rPr>
            </w:pPr>
          </w:p>
        </w:tc>
      </w:tr>
    </w:tbl>
    <w:p w14:paraId="37919FC4"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5E60D78C" w14:textId="77777777">
        <w:trPr>
          <w:cantSplit/>
        </w:trPr>
        <w:tc>
          <w:tcPr>
            <w:tcW w:w="4320" w:type="dxa"/>
          </w:tcPr>
          <w:p w14:paraId="68AAEAE2" w14:textId="77777777" w:rsidR="00FE3457" w:rsidRDefault="005268B9">
            <w:pPr>
              <w:tabs>
                <w:tab w:val="left" w:pos="2070"/>
              </w:tabs>
              <w:spacing w:after="0" w:line="240" w:lineRule="auto"/>
              <w:ind w:right="162"/>
            </w:pPr>
            <w:r>
              <w:rPr>
                <w:b/>
                <w:bCs/>
              </w:rPr>
              <w:t>Last Name</w:t>
            </w:r>
          </w:p>
        </w:tc>
        <w:tc>
          <w:tcPr>
            <w:tcW w:w="5270" w:type="dxa"/>
          </w:tcPr>
          <w:p w14:paraId="0001C14A" w14:textId="77777777" w:rsidR="00FE3457" w:rsidRDefault="00FE3457">
            <w:pPr>
              <w:widowControl w:val="0"/>
              <w:spacing w:after="0" w:line="240" w:lineRule="auto"/>
              <w:rPr>
                <w:rFonts w:cs="Arial"/>
                <w:highlight w:val="yellow"/>
              </w:rPr>
            </w:pPr>
          </w:p>
        </w:tc>
      </w:tr>
    </w:tbl>
    <w:p w14:paraId="443A0162"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1E5837BA" w14:textId="77777777">
        <w:trPr>
          <w:cantSplit/>
        </w:trPr>
        <w:tc>
          <w:tcPr>
            <w:tcW w:w="4320" w:type="dxa"/>
          </w:tcPr>
          <w:p w14:paraId="0053E70B" w14:textId="77777777" w:rsidR="00FE3457" w:rsidRDefault="005268B9">
            <w:pPr>
              <w:tabs>
                <w:tab w:val="left" w:pos="2070"/>
              </w:tabs>
              <w:spacing w:after="0" w:line="240" w:lineRule="auto"/>
              <w:ind w:right="162"/>
            </w:pPr>
            <w:r>
              <w:rPr>
                <w:b/>
                <w:bCs/>
              </w:rPr>
              <w:t>Suffix</w:t>
            </w:r>
          </w:p>
        </w:tc>
        <w:tc>
          <w:tcPr>
            <w:tcW w:w="5270" w:type="dxa"/>
          </w:tcPr>
          <w:p w14:paraId="2DD34DB0" w14:textId="77777777" w:rsidR="00FE3457" w:rsidRDefault="00FE3457">
            <w:pPr>
              <w:widowControl w:val="0"/>
              <w:spacing w:after="0" w:line="240" w:lineRule="auto"/>
              <w:rPr>
                <w:rFonts w:cs="Arial"/>
                <w:highlight w:val="yellow"/>
              </w:rPr>
            </w:pPr>
          </w:p>
        </w:tc>
      </w:tr>
    </w:tbl>
    <w:p w14:paraId="395E93D1"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75D78198" w14:textId="77777777">
        <w:trPr>
          <w:cantSplit/>
        </w:trPr>
        <w:tc>
          <w:tcPr>
            <w:tcW w:w="4320" w:type="dxa"/>
          </w:tcPr>
          <w:p w14:paraId="7C598A12" w14:textId="77777777" w:rsidR="00FE3457" w:rsidRDefault="005268B9">
            <w:pPr>
              <w:tabs>
                <w:tab w:val="left" w:pos="2070"/>
              </w:tabs>
              <w:spacing w:after="0" w:line="240" w:lineRule="auto"/>
              <w:ind w:right="162"/>
            </w:pPr>
            <w:r>
              <w:rPr>
                <w:b/>
                <w:bCs/>
              </w:rPr>
              <w:t>Title</w:t>
            </w:r>
          </w:p>
        </w:tc>
        <w:tc>
          <w:tcPr>
            <w:tcW w:w="5270" w:type="dxa"/>
          </w:tcPr>
          <w:p w14:paraId="1212C9E1" w14:textId="77777777" w:rsidR="00FE3457" w:rsidRDefault="00FE3457">
            <w:pPr>
              <w:widowControl w:val="0"/>
              <w:spacing w:after="0" w:line="240" w:lineRule="auto"/>
              <w:rPr>
                <w:rFonts w:cs="Arial"/>
                <w:highlight w:val="yellow"/>
              </w:rPr>
            </w:pPr>
          </w:p>
        </w:tc>
      </w:tr>
    </w:tbl>
    <w:p w14:paraId="6793A1A6"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C0D0DFD" w14:textId="77777777">
        <w:trPr>
          <w:cantSplit/>
        </w:trPr>
        <w:tc>
          <w:tcPr>
            <w:tcW w:w="4320" w:type="dxa"/>
          </w:tcPr>
          <w:p w14:paraId="25AD39D8" w14:textId="77777777" w:rsidR="00FE3457" w:rsidRDefault="005268B9">
            <w:pPr>
              <w:tabs>
                <w:tab w:val="left" w:pos="2070"/>
              </w:tabs>
              <w:spacing w:after="0" w:line="240" w:lineRule="auto"/>
              <w:ind w:right="162"/>
            </w:pPr>
            <w:r>
              <w:rPr>
                <w:b/>
                <w:bCs/>
              </w:rPr>
              <w:lastRenderedPageBreak/>
              <w:t>Phone Number</w:t>
            </w:r>
          </w:p>
        </w:tc>
        <w:tc>
          <w:tcPr>
            <w:tcW w:w="5270" w:type="dxa"/>
          </w:tcPr>
          <w:p w14:paraId="0190D376" w14:textId="77777777" w:rsidR="00FE3457" w:rsidRDefault="00FE3457">
            <w:pPr>
              <w:widowControl w:val="0"/>
              <w:spacing w:after="0" w:line="240" w:lineRule="auto"/>
              <w:rPr>
                <w:rFonts w:cs="Arial"/>
                <w:highlight w:val="yellow"/>
              </w:rPr>
            </w:pPr>
          </w:p>
        </w:tc>
      </w:tr>
    </w:tbl>
    <w:p w14:paraId="0BDE7EA1"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6E7FEAD" w14:textId="77777777">
        <w:trPr>
          <w:cantSplit/>
        </w:trPr>
        <w:tc>
          <w:tcPr>
            <w:tcW w:w="4320" w:type="dxa"/>
          </w:tcPr>
          <w:p w14:paraId="71AC8BB0" w14:textId="77777777" w:rsidR="00FE3457" w:rsidRDefault="005268B9">
            <w:pPr>
              <w:tabs>
                <w:tab w:val="left" w:pos="2070"/>
              </w:tabs>
              <w:spacing w:after="0" w:line="240" w:lineRule="auto"/>
              <w:ind w:right="162"/>
            </w:pPr>
            <w:r>
              <w:rPr>
                <w:b/>
                <w:bCs/>
              </w:rPr>
              <w:t>Extension</w:t>
            </w:r>
          </w:p>
        </w:tc>
        <w:tc>
          <w:tcPr>
            <w:tcW w:w="5270" w:type="dxa"/>
          </w:tcPr>
          <w:p w14:paraId="0377D30B" w14:textId="77777777" w:rsidR="00FE3457" w:rsidRDefault="00FE3457">
            <w:pPr>
              <w:widowControl w:val="0"/>
              <w:spacing w:after="0" w:line="240" w:lineRule="auto"/>
              <w:rPr>
                <w:rFonts w:cs="Arial"/>
                <w:highlight w:val="yellow"/>
              </w:rPr>
            </w:pPr>
          </w:p>
        </w:tc>
      </w:tr>
    </w:tbl>
    <w:p w14:paraId="2D21F6BC"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40792FA1" w14:textId="77777777">
        <w:trPr>
          <w:cantSplit/>
        </w:trPr>
        <w:tc>
          <w:tcPr>
            <w:tcW w:w="4320" w:type="dxa"/>
          </w:tcPr>
          <w:p w14:paraId="0B035381" w14:textId="77777777" w:rsidR="00FE3457" w:rsidRDefault="005268B9">
            <w:pPr>
              <w:tabs>
                <w:tab w:val="left" w:pos="2070"/>
              </w:tabs>
              <w:spacing w:after="0" w:line="240" w:lineRule="auto"/>
              <w:ind w:right="162"/>
            </w:pPr>
            <w:r>
              <w:rPr>
                <w:b/>
                <w:bCs/>
              </w:rPr>
              <w:t>Email Address</w:t>
            </w:r>
          </w:p>
        </w:tc>
        <w:tc>
          <w:tcPr>
            <w:tcW w:w="5270" w:type="dxa"/>
          </w:tcPr>
          <w:p w14:paraId="19A7411A" w14:textId="77777777" w:rsidR="00FE3457" w:rsidRDefault="00FE3457">
            <w:pPr>
              <w:widowControl w:val="0"/>
              <w:spacing w:after="0" w:line="240" w:lineRule="auto"/>
              <w:rPr>
                <w:rFonts w:cs="Arial"/>
                <w:highlight w:val="yellow"/>
              </w:rPr>
            </w:pPr>
          </w:p>
        </w:tc>
      </w:tr>
    </w:tbl>
    <w:p w14:paraId="0424FB46" w14:textId="77777777" w:rsidR="00FE3457" w:rsidRDefault="00FE3457">
      <w:pPr>
        <w:widowControl w:val="0"/>
        <w:spacing w:after="0" w:line="240" w:lineRule="auto"/>
        <w:rPr>
          <w:b/>
          <w:sz w:val="24"/>
          <w:szCs w:val="24"/>
        </w:rPr>
      </w:pPr>
    </w:p>
    <w:p w14:paraId="19C8605C" w14:textId="77777777" w:rsidR="00FE3457" w:rsidRDefault="005268B9">
      <w:pPr>
        <w:widowControl w:val="0"/>
        <w:rPr>
          <w:b/>
          <w:sz w:val="24"/>
          <w:szCs w:val="24"/>
        </w:rPr>
      </w:pPr>
      <w:r>
        <w:rPr>
          <w:b/>
          <w:sz w:val="24"/>
          <w:szCs w:val="24"/>
        </w:rPr>
        <w:t xml:space="preserve">2. Reporting Period—All Recipients Complete </w:t>
      </w: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62063C59" w14:textId="77777777">
        <w:trPr>
          <w:cantSplit/>
        </w:trPr>
        <w:tc>
          <w:tcPr>
            <w:tcW w:w="4320" w:type="dxa"/>
          </w:tcPr>
          <w:p w14:paraId="3725582E" w14:textId="77777777" w:rsidR="00FE3457" w:rsidRDefault="005268B9">
            <w:pPr>
              <w:keepNext/>
              <w:tabs>
                <w:tab w:val="left" w:pos="2070"/>
              </w:tabs>
              <w:spacing w:after="0" w:line="240" w:lineRule="auto"/>
              <w:ind w:right="162"/>
            </w:pPr>
            <w:r>
              <w:rPr>
                <w:b/>
                <w:bCs/>
              </w:rPr>
              <w:t>Program Year Start Date</w:t>
            </w:r>
          </w:p>
        </w:tc>
        <w:tc>
          <w:tcPr>
            <w:tcW w:w="5270" w:type="dxa"/>
          </w:tcPr>
          <w:p w14:paraId="2EB49D60" w14:textId="77777777" w:rsidR="00E2285C" w:rsidRDefault="00730313">
            <w:pPr>
              <w:keepNext/>
              <w:widowControl w:val="0"/>
              <w:spacing w:beforeAutospacing="1" w:afterAutospacing="1"/>
              <w:rPr>
                <w:rFonts w:cs="Arial"/>
              </w:rPr>
            </w:pPr>
            <w:r>
              <w:rPr>
                <w:rFonts w:cs="Arial"/>
              </w:rPr>
              <w:t>07/01/2024</w:t>
            </w:r>
          </w:p>
        </w:tc>
      </w:tr>
    </w:tbl>
    <w:p w14:paraId="2445FF52" w14:textId="77777777" w:rsidR="00FE3457" w:rsidRDefault="00FE3457">
      <w:pPr>
        <w:widowControl w:val="0"/>
        <w:spacing w:after="0" w:line="240" w:lineRule="auto"/>
        <w:rPr>
          <w:b/>
          <w:vanish/>
          <w:sz w:val="24"/>
          <w:szCs w:val="24"/>
        </w:rPr>
      </w:pPr>
    </w:p>
    <w:tbl>
      <w:tblPr>
        <w:tblW w:w="5000" w:type="pct"/>
        <w:tblInd w:w="115" w:type="dxa"/>
        <w:tblLayout w:type="fixed"/>
        <w:tblCellMar>
          <w:left w:w="115" w:type="dxa"/>
          <w:right w:w="115" w:type="dxa"/>
        </w:tblCellMar>
        <w:tblLook w:val="01E0" w:firstRow="1" w:lastRow="1" w:firstColumn="1" w:lastColumn="1" w:noHBand="0" w:noVBand="0"/>
      </w:tblPr>
      <w:tblGrid>
        <w:gridCol w:w="4217"/>
        <w:gridCol w:w="5143"/>
      </w:tblGrid>
      <w:tr w:rsidR="00FE3457" w14:paraId="2B56B0FA" w14:textId="77777777">
        <w:trPr>
          <w:cantSplit/>
        </w:trPr>
        <w:tc>
          <w:tcPr>
            <w:tcW w:w="4320" w:type="dxa"/>
          </w:tcPr>
          <w:p w14:paraId="2C60B03A" w14:textId="77777777" w:rsidR="00FE3457" w:rsidRDefault="005268B9">
            <w:pPr>
              <w:tabs>
                <w:tab w:val="left" w:pos="2070"/>
              </w:tabs>
              <w:spacing w:after="0" w:line="240" w:lineRule="auto"/>
              <w:ind w:right="162"/>
            </w:pPr>
            <w:r>
              <w:rPr>
                <w:b/>
                <w:bCs/>
              </w:rPr>
              <w:t>Program Year End Date</w:t>
            </w:r>
          </w:p>
        </w:tc>
        <w:tc>
          <w:tcPr>
            <w:tcW w:w="5270" w:type="dxa"/>
          </w:tcPr>
          <w:p w14:paraId="145566D5" w14:textId="77777777" w:rsidR="00E2285C" w:rsidRDefault="00730313">
            <w:pPr>
              <w:widowControl w:val="0"/>
              <w:spacing w:beforeAutospacing="1" w:afterAutospacing="1"/>
              <w:rPr>
                <w:rFonts w:cs="Arial"/>
                <w:highlight w:val="yellow"/>
              </w:rPr>
            </w:pPr>
            <w:r>
              <w:rPr>
                <w:rFonts w:cs="Arial"/>
              </w:rPr>
              <w:t>06/30/2025</w:t>
            </w:r>
          </w:p>
        </w:tc>
      </w:tr>
    </w:tbl>
    <w:p w14:paraId="37D0381E" w14:textId="77777777" w:rsidR="00FE3457" w:rsidRDefault="00FE3457">
      <w:pPr>
        <w:widowControl w:val="0"/>
        <w:rPr>
          <w:b/>
          <w:sz w:val="24"/>
          <w:szCs w:val="24"/>
        </w:rPr>
      </w:pPr>
    </w:p>
    <w:p w14:paraId="4A05B3CF" w14:textId="77777777" w:rsidR="00FE3457" w:rsidRDefault="005268B9">
      <w:pPr>
        <w:keepNext/>
        <w:widowControl w:val="0"/>
        <w:rPr>
          <w:b/>
          <w:sz w:val="24"/>
          <w:szCs w:val="24"/>
        </w:rPr>
      </w:pPr>
      <w:r>
        <w:rPr>
          <w:b/>
          <w:sz w:val="24"/>
          <w:szCs w:val="24"/>
        </w:rPr>
        <w:t>3a. Subrecipient Form – Complete one form for each subrecipient</w:t>
      </w:r>
    </w:p>
    <w:tbl>
      <w:tblPr>
        <w:tblW w:w="5000" w:type="pct"/>
        <w:tblInd w:w="115" w:type="dxa"/>
        <w:tblLayout w:type="fixed"/>
        <w:tblCellMar>
          <w:left w:w="115" w:type="dxa"/>
          <w:right w:w="115" w:type="dxa"/>
        </w:tblCellMar>
        <w:tblLook w:val="01E0" w:firstRow="1" w:lastRow="1" w:firstColumn="1" w:lastColumn="1" w:noHBand="0" w:noVBand="0"/>
      </w:tblPr>
      <w:tblGrid>
        <w:gridCol w:w="9360"/>
      </w:tblGrid>
      <w:tr w:rsidR="00FE3457" w14:paraId="5F11CFC9" w14:textId="77777777">
        <w:trPr>
          <w:cantSplit/>
        </w:trPr>
        <w:tc>
          <w:tcPr>
            <w:tcW w:w="9590" w:type="dxa"/>
          </w:tcPr>
          <w:p w14:paraId="57CFEF07" w14:textId="77777777" w:rsidR="00FE3457" w:rsidRDefault="005268B9">
            <w:pPr>
              <w:keepNext/>
              <w:widowControl w:val="0"/>
              <w:spacing w:after="0" w:line="240" w:lineRule="auto"/>
              <w:rPr>
                <w:rFonts w:cs="Arial"/>
                <w:highlight w:val="yellow"/>
              </w:rPr>
            </w:pPr>
            <w:r>
              <w:rPr>
                <w:b/>
                <w:bCs/>
              </w:rPr>
              <w:t>Subrecipient or Contractor Name</w:t>
            </w:r>
          </w:p>
        </w:tc>
      </w:tr>
      <w:tr w:rsidR="00FE3457" w14:paraId="16F82221" w14:textId="77777777">
        <w:trPr>
          <w:cantSplit/>
        </w:trPr>
        <w:tc>
          <w:tcPr>
            <w:tcW w:w="9590" w:type="dxa"/>
          </w:tcPr>
          <w:p w14:paraId="495D2F9B" w14:textId="77777777" w:rsidR="00FE3457" w:rsidRDefault="005268B9">
            <w:pPr>
              <w:keepNext/>
              <w:widowControl w:val="0"/>
              <w:spacing w:after="0" w:line="240" w:lineRule="auto"/>
              <w:rPr>
                <w:rFonts w:cs="Arial"/>
                <w:highlight w:val="yellow"/>
              </w:rPr>
            </w:pPr>
            <w:r>
              <w:rPr>
                <w:b/>
                <w:bCs/>
              </w:rPr>
              <w:t>City</w:t>
            </w:r>
          </w:p>
        </w:tc>
      </w:tr>
      <w:tr w:rsidR="00FE3457" w14:paraId="2A7EA109" w14:textId="77777777">
        <w:trPr>
          <w:cantSplit/>
        </w:trPr>
        <w:tc>
          <w:tcPr>
            <w:tcW w:w="9590" w:type="dxa"/>
          </w:tcPr>
          <w:p w14:paraId="48421724" w14:textId="77777777" w:rsidR="00FE3457" w:rsidRDefault="005268B9">
            <w:pPr>
              <w:keepNext/>
              <w:widowControl w:val="0"/>
              <w:spacing w:after="0" w:line="240" w:lineRule="auto"/>
              <w:rPr>
                <w:rFonts w:cs="Arial"/>
                <w:highlight w:val="yellow"/>
              </w:rPr>
            </w:pPr>
            <w:r>
              <w:rPr>
                <w:b/>
                <w:bCs/>
              </w:rPr>
              <w:t>State</w:t>
            </w:r>
          </w:p>
        </w:tc>
      </w:tr>
      <w:tr w:rsidR="00FE3457" w14:paraId="04543101" w14:textId="77777777">
        <w:trPr>
          <w:cantSplit/>
        </w:trPr>
        <w:tc>
          <w:tcPr>
            <w:tcW w:w="9590" w:type="dxa"/>
          </w:tcPr>
          <w:p w14:paraId="56F4B1C2" w14:textId="77777777" w:rsidR="00FE3457" w:rsidRDefault="005268B9">
            <w:pPr>
              <w:keepNext/>
              <w:widowControl w:val="0"/>
              <w:spacing w:after="0" w:line="240" w:lineRule="auto"/>
              <w:rPr>
                <w:rFonts w:cs="Arial"/>
                <w:highlight w:val="yellow"/>
              </w:rPr>
            </w:pPr>
            <w:r>
              <w:rPr>
                <w:b/>
                <w:bCs/>
              </w:rPr>
              <w:t>Zip Code</w:t>
            </w:r>
          </w:p>
        </w:tc>
      </w:tr>
      <w:tr w:rsidR="00FE3457" w14:paraId="722D709B" w14:textId="77777777">
        <w:trPr>
          <w:cantSplit/>
        </w:trPr>
        <w:tc>
          <w:tcPr>
            <w:tcW w:w="9590" w:type="dxa"/>
          </w:tcPr>
          <w:p w14:paraId="2CE89874" w14:textId="77777777" w:rsidR="00FE3457" w:rsidRDefault="005268B9">
            <w:pPr>
              <w:keepNext/>
              <w:widowControl w:val="0"/>
              <w:spacing w:after="0" w:line="240" w:lineRule="auto"/>
              <w:rPr>
                <w:rFonts w:cs="Arial"/>
                <w:highlight w:val="yellow"/>
              </w:rPr>
            </w:pPr>
            <w:r>
              <w:rPr>
                <w:b/>
                <w:bCs/>
              </w:rPr>
              <w:t>DUNS Number</w:t>
            </w:r>
          </w:p>
        </w:tc>
      </w:tr>
      <w:tr w:rsidR="00FE3457" w14:paraId="17094EF2" w14:textId="77777777">
        <w:trPr>
          <w:cantSplit/>
        </w:trPr>
        <w:tc>
          <w:tcPr>
            <w:tcW w:w="9590" w:type="dxa"/>
          </w:tcPr>
          <w:p w14:paraId="5445DBAD" w14:textId="77777777" w:rsidR="00FE3457" w:rsidRDefault="005268B9">
            <w:pPr>
              <w:keepNext/>
              <w:widowControl w:val="0"/>
              <w:spacing w:after="0" w:line="240" w:lineRule="auto"/>
              <w:rPr>
                <w:b/>
                <w:bCs/>
              </w:rPr>
            </w:pPr>
            <w:r>
              <w:rPr>
                <w:b/>
                <w:bCs/>
              </w:rPr>
              <w:t>UEI</w:t>
            </w:r>
          </w:p>
        </w:tc>
      </w:tr>
      <w:tr w:rsidR="00FE3457" w14:paraId="69FA89E6" w14:textId="77777777">
        <w:trPr>
          <w:cantSplit/>
        </w:trPr>
        <w:tc>
          <w:tcPr>
            <w:tcW w:w="9590" w:type="dxa"/>
          </w:tcPr>
          <w:p w14:paraId="5B265E3F" w14:textId="77777777" w:rsidR="00FE3457" w:rsidRDefault="005268B9">
            <w:pPr>
              <w:keepNext/>
              <w:widowControl w:val="0"/>
              <w:spacing w:after="0" w:line="240" w:lineRule="auto"/>
              <w:rPr>
                <w:rFonts w:cs="Arial"/>
                <w:highlight w:val="yellow"/>
              </w:rPr>
            </w:pPr>
            <w:r>
              <w:rPr>
                <w:b/>
                <w:bCs/>
              </w:rPr>
              <w:t xml:space="preserve">Is subrecipient a </w:t>
            </w:r>
            <w:proofErr w:type="spellStart"/>
            <w:r>
              <w:rPr>
                <w:b/>
                <w:bCs/>
              </w:rPr>
              <w:t>vistim</w:t>
            </w:r>
            <w:proofErr w:type="spellEnd"/>
            <w:r>
              <w:rPr>
                <w:b/>
                <w:bCs/>
              </w:rPr>
              <w:t xml:space="preserve"> services provider</w:t>
            </w:r>
          </w:p>
        </w:tc>
      </w:tr>
      <w:tr w:rsidR="00FE3457" w14:paraId="69E15C2C" w14:textId="77777777">
        <w:trPr>
          <w:cantSplit/>
        </w:trPr>
        <w:tc>
          <w:tcPr>
            <w:tcW w:w="9590" w:type="dxa"/>
          </w:tcPr>
          <w:p w14:paraId="4B8935CA" w14:textId="77777777" w:rsidR="00FE3457" w:rsidRDefault="005268B9">
            <w:pPr>
              <w:keepNext/>
              <w:widowControl w:val="0"/>
              <w:spacing w:after="0" w:line="240" w:lineRule="auto"/>
              <w:rPr>
                <w:rFonts w:cs="Arial"/>
                <w:highlight w:val="yellow"/>
              </w:rPr>
            </w:pPr>
            <w:r>
              <w:rPr>
                <w:b/>
                <w:bCs/>
              </w:rPr>
              <w:t>Subrecipient Organization Type</w:t>
            </w:r>
          </w:p>
        </w:tc>
      </w:tr>
      <w:tr w:rsidR="00FE3457" w14:paraId="007FD889" w14:textId="77777777">
        <w:trPr>
          <w:cantSplit/>
        </w:trPr>
        <w:tc>
          <w:tcPr>
            <w:tcW w:w="9590" w:type="dxa"/>
          </w:tcPr>
          <w:p w14:paraId="059A035E" w14:textId="77777777" w:rsidR="00FE3457" w:rsidRDefault="005268B9">
            <w:pPr>
              <w:keepNext/>
              <w:widowControl w:val="0"/>
              <w:spacing w:after="0" w:line="240" w:lineRule="auto"/>
              <w:rPr>
                <w:rFonts w:cs="Arial"/>
                <w:highlight w:val="yellow"/>
              </w:rPr>
            </w:pPr>
            <w:r>
              <w:rPr>
                <w:b/>
                <w:bCs/>
              </w:rPr>
              <w:t>ESG Subgrant or Contract Award Amount</w:t>
            </w:r>
          </w:p>
        </w:tc>
      </w:tr>
    </w:tbl>
    <w:p w14:paraId="43A2B9C4" w14:textId="77777777" w:rsidR="00FE3457" w:rsidRDefault="00FE3457">
      <w:pPr>
        <w:widowControl w:val="0"/>
        <w:rPr>
          <w:b/>
          <w:sz w:val="24"/>
          <w:szCs w:val="24"/>
        </w:rPr>
      </w:pPr>
    </w:p>
    <w:p w14:paraId="54BD5E4F" w14:textId="77777777" w:rsidR="00FE3457" w:rsidRDefault="00FE3457"/>
    <w:sectPr w:rsidR="00FE345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81DD" w14:textId="77777777" w:rsidR="00730313" w:rsidRDefault="00730313">
      <w:r>
        <w:separator/>
      </w:r>
    </w:p>
  </w:endnote>
  <w:endnote w:type="continuationSeparator" w:id="0">
    <w:p w14:paraId="0EF6A549" w14:textId="77777777" w:rsidR="00730313" w:rsidRDefault="0073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FE3457" w14:paraId="348C90FA" w14:textId="77777777">
      <w:trPr>
        <w:jc w:val="center"/>
      </w:trPr>
      <w:tc>
        <w:tcPr>
          <w:tcW w:w="828" w:type="dxa"/>
        </w:tcPr>
        <w:p w14:paraId="67900FCB" w14:textId="77777777" w:rsidR="00FE3457" w:rsidRDefault="00FE3457">
          <w:pPr>
            <w:pStyle w:val="Footer"/>
            <w:spacing w:after="0" w:line="240" w:lineRule="auto"/>
            <w:jc w:val="center"/>
          </w:pPr>
        </w:p>
      </w:tc>
      <w:tc>
        <w:tcPr>
          <w:tcW w:w="7976" w:type="dxa"/>
        </w:tcPr>
        <w:p w14:paraId="1CBAD942" w14:textId="77777777" w:rsidR="00FE3457" w:rsidRDefault="005268B9">
          <w:pPr>
            <w:pStyle w:val="Footer"/>
            <w:spacing w:after="0" w:line="240" w:lineRule="auto"/>
            <w:jc w:val="center"/>
          </w:pPr>
          <w:r>
            <w:t>CAPER</w:t>
          </w:r>
        </w:p>
      </w:tc>
      <w:tc>
        <w:tcPr>
          <w:tcW w:w="772" w:type="dxa"/>
        </w:tcPr>
        <w:p w14:paraId="472D6BC7" w14:textId="77777777" w:rsidR="00FE3457" w:rsidRDefault="005268B9">
          <w:pPr>
            <w:pStyle w:val="Footer"/>
            <w:spacing w:after="0" w:line="240" w:lineRule="auto"/>
            <w:jc w:val="right"/>
          </w:pPr>
          <w:r>
            <w:fldChar w:fldCharType="begin"/>
          </w:r>
          <w:r>
            <w:instrText>page</w:instrText>
          </w:r>
          <w:r>
            <w:fldChar w:fldCharType="separate"/>
          </w:r>
          <w:r>
            <w:t>1</w:t>
          </w:r>
          <w:r>
            <w:fldChar w:fldCharType="end"/>
          </w:r>
        </w:p>
      </w:tc>
    </w:tr>
  </w:tbl>
  <w:p w14:paraId="0FA29EF0" w14:textId="77777777" w:rsidR="00FE3457" w:rsidRDefault="005268B9">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9965" w14:textId="77777777" w:rsidR="00730313" w:rsidRDefault="00730313">
      <w:r>
        <w:separator/>
      </w:r>
    </w:p>
  </w:footnote>
  <w:footnote w:type="continuationSeparator" w:id="0">
    <w:p w14:paraId="16985450" w14:textId="77777777" w:rsidR="00730313" w:rsidRDefault="0073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354500805">
    <w:abstractNumId w:val="11"/>
  </w:num>
  <w:num w:numId="2" w16cid:durableId="1438259603">
    <w:abstractNumId w:val="9"/>
  </w:num>
  <w:num w:numId="3" w16cid:durableId="2008899205">
    <w:abstractNumId w:val="7"/>
  </w:num>
  <w:num w:numId="4" w16cid:durableId="505556654">
    <w:abstractNumId w:val="6"/>
  </w:num>
  <w:num w:numId="5" w16cid:durableId="585653707">
    <w:abstractNumId w:val="5"/>
  </w:num>
  <w:num w:numId="6" w16cid:durableId="1238589736">
    <w:abstractNumId w:val="4"/>
  </w:num>
  <w:num w:numId="7" w16cid:durableId="697850130">
    <w:abstractNumId w:val="8"/>
  </w:num>
  <w:num w:numId="8" w16cid:durableId="1391927363">
    <w:abstractNumId w:val="3"/>
  </w:num>
  <w:num w:numId="9" w16cid:durableId="1352678894">
    <w:abstractNumId w:val="2"/>
  </w:num>
  <w:num w:numId="10" w16cid:durableId="660158732">
    <w:abstractNumId w:val="1"/>
  </w:num>
  <w:num w:numId="11" w16cid:durableId="1759397776">
    <w:abstractNumId w:val="0"/>
  </w:num>
  <w:num w:numId="12" w16cid:durableId="592126591">
    <w:abstractNumId w:val="10"/>
  </w:num>
  <w:num w:numId="13" w16cid:durableId="1773284308">
    <w:abstractNumId w:val="15"/>
  </w:num>
  <w:num w:numId="14" w16cid:durableId="655765885">
    <w:abstractNumId w:val="13"/>
  </w:num>
  <w:num w:numId="15" w16cid:durableId="58790050">
    <w:abstractNumId w:val="12"/>
  </w:num>
  <w:num w:numId="16" w16cid:durableId="2076929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577F"/>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8B9"/>
    <w:rsid w:val="00526D6D"/>
    <w:rsid w:val="00527000"/>
    <w:rsid w:val="00527D19"/>
    <w:rsid w:val="00527DC2"/>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0313"/>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4F9"/>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4D9E"/>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285C"/>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457"/>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 w:val="0396056A"/>
    <w:rsid w:val="0B421CA2"/>
    <w:rsid w:val="22009AAA"/>
    <w:rsid w:val="39C60090"/>
    <w:rsid w:val="6ED518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FDDFF"/>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17321</Words>
  <Characters>102194</Characters>
  <Application>Microsoft Office Word</Application>
  <DocSecurity>0</DocSecurity>
  <Lines>2554</Lines>
  <Paragraphs>995</Paragraphs>
  <ScaleCrop>false</ScaleCrop>
  <Company>Microsoft</Company>
  <LinksUpToDate>false</LinksUpToDate>
  <CharactersWithSpaces>118520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Andrew Herlihy</cp:lastModifiedBy>
  <cp:revision>3</cp:revision>
  <dcterms:created xsi:type="dcterms:W3CDTF">2026-04-15T14:44:00Z</dcterms:created>
  <dcterms:modified xsi:type="dcterms:W3CDTF">2026-04-15T14:49:00Z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2026-01-28T20:47:42Z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70c27f05-4588-4f8d-b595-e048e45275c5</vt:lpwstr>
  </property>
  <property fmtid="{D5CDD505-2E9C-101B-9397-08002B2CF9AE}" pid="7" name="MSIP_Label_defa4170-0d19-0005-0004-bc88714345d2_ActionId">
    <vt:lpwstr>f4a2357e-5761-44b0-9a15-ac669b5206ad</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ies>
</file>