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19BA" w14:textId="77777777" w:rsidR="000B4D04" w:rsidRDefault="00B90386">
      <w:pPr>
        <w:jc w:val="center"/>
        <w:rPr>
          <w:b/>
          <w:sz w:val="32"/>
          <w:szCs w:val="32"/>
        </w:rPr>
      </w:pPr>
      <w:bookmarkStart w:id="0" w:name="_Toc309810474"/>
      <w:r>
        <w:rPr>
          <w:b/>
          <w:sz w:val="32"/>
          <w:szCs w:val="32"/>
        </w:rPr>
        <w:t>Expected Resources</w:t>
      </w:r>
    </w:p>
    <w:p w14:paraId="03D1B311" w14:textId="77777777" w:rsidR="000B4D04" w:rsidRDefault="00B90386">
      <w:pPr>
        <w:pStyle w:val="Heading2"/>
        <w:rPr>
          <w:rFonts w:ascii="Calibri" w:hAnsi="Calibri"/>
          <w:i w:val="0"/>
        </w:rPr>
      </w:pPr>
      <w:r>
        <w:rPr>
          <w:rFonts w:ascii="Calibri" w:hAnsi="Calibri"/>
          <w:i w:val="0"/>
        </w:rPr>
        <w:t>AP-15 Expected Resources - 91.420(b), 91.220(c)(1,2)</w:t>
      </w:r>
    </w:p>
    <w:p w14:paraId="1ECF3306" w14:textId="77777777" w:rsidR="000B4D04" w:rsidRDefault="00B90386">
      <w:pPr>
        <w:keepNext/>
        <w:widowControl w:val="0"/>
        <w:spacing w:line="204" w:lineRule="auto"/>
        <w:rPr>
          <w:b/>
          <w:sz w:val="28"/>
          <w:szCs w:val="28"/>
        </w:rPr>
      </w:pPr>
      <w:r>
        <w:rPr>
          <w:b/>
          <w:sz w:val="24"/>
          <w:szCs w:val="24"/>
        </w:rPr>
        <w:t>Introduction</w:t>
      </w:r>
    </w:p>
    <w:p w14:paraId="0DE5283A" w14:textId="77777777" w:rsidR="000B4D04" w:rsidRDefault="00B90386">
      <w:pPr>
        <w:keepNext/>
        <w:widowControl w:val="0"/>
        <w:spacing w:beforeAutospacing="1" w:afterAutospacing="1"/>
        <w:rPr>
          <w:b/>
          <w:sz w:val="24"/>
          <w:szCs w:val="24"/>
        </w:rPr>
      </w:pPr>
      <w:r>
        <w:t>In an era of constrained federal resources, the efforts of the new Department of Government Efficiency, and political turmoil, it is difficult to project future revenues with confidence.  The passage of the 'Big, Beautiful Bill' constrains a great deal of federal discretionary domestic spending. Nationwide, Community Development Block Grant (CDBG) funding once $4 billion is now down to $3.3 billion.  The CDBG program was zeroed out in the President's Federal Fiscal Year 2026 budget proposal to Congress.   T</w:t>
      </w:r>
      <w:r>
        <w:t>herefore, it is difficult to predict what will happen in these tumultuous political times.</w:t>
      </w:r>
    </w:p>
    <w:p w14:paraId="2B44F1A5" w14:textId="560673FA" w:rsidR="000B4D04" w:rsidRDefault="00B90386">
      <w:pPr>
        <w:keepNext/>
        <w:widowControl w:val="0"/>
        <w:spacing w:beforeAutospacing="1" w:afterAutospacing="1"/>
        <w:rPr>
          <w:b/>
          <w:sz w:val="24"/>
          <w:szCs w:val="24"/>
        </w:rPr>
      </w:pPr>
      <w:r>
        <w:t xml:space="preserve">The City of Haverhill in 2023 paid down the largest single municipal debt in the history of the Commonwealth, the burdens of the formerly city-owned Hale Hospital.  The closure, sale and transfer of the Hale in 2001 allowed a hospital presence to remain in the city, but it saddled Haverhill residents with over $87 million of debt. The </w:t>
      </w:r>
      <w:r w:rsidR="007F2FB7">
        <w:t>aftereffects</w:t>
      </w:r>
      <w:r>
        <w:t xml:space="preserve"> of this debt</w:t>
      </w:r>
      <w:r w:rsidR="00177E91">
        <w:t xml:space="preserve"> </w:t>
      </w:r>
      <w:r>
        <w:t>i</w:t>
      </w:r>
      <w:r>
        <w:t>ncluded a lack of maintenance and investment in various capital and public safety staffing. This harsh reality continues to drive the City to find, obtain and/or leverage additional resources whenever possible.</w:t>
      </w:r>
    </w:p>
    <w:p w14:paraId="0EF6FFBE" w14:textId="77777777" w:rsidR="000B4D04" w:rsidRDefault="00B90386">
      <w:pPr>
        <w:keepNext/>
        <w:widowControl w:val="0"/>
        <w:spacing w:beforeAutospacing="1" w:afterAutospacing="1"/>
        <w:rPr>
          <w:b/>
          <w:sz w:val="24"/>
          <w:szCs w:val="24"/>
        </w:rPr>
      </w:pPr>
      <w:r>
        <w:t>The CDD and other departments have been aggressive in pursuing other funds-- through grants, appropriations or program income-- in order to augment the City's abilities to fulfill its goals and priorities.  These include the economic development grants (such as MassWorks Infrastructure grants and earmarks), environmental programs (such as Parkland Acquisitions and Renovations for Communities {PARC}, Land and Water Conservation Fund {LWCF} and LAND acquisition grants), Public Safety grants (such as Shannon G</w:t>
      </w:r>
      <w:r>
        <w:t xml:space="preserve">rants, SAFER and Byrne Grants), Gateway Cities-tailored opportunities (such as housing, tree and park and infrastructure and planning incentives), and other notable state, federal and private sources of support.  Providing additional resources outside of HUD entitlement funding is the overarching goal for the City's Community </w:t>
      </w:r>
      <w:r>
        <w:lastRenderedPageBreak/>
        <w:t>Development Department.</w:t>
      </w:r>
    </w:p>
    <w:p w14:paraId="34BDC35D" w14:textId="77777777" w:rsidR="000B4D04" w:rsidRDefault="00B90386">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887"/>
        <w:gridCol w:w="1566"/>
        <w:gridCol w:w="1219"/>
        <w:gridCol w:w="1221"/>
        <w:gridCol w:w="1221"/>
        <w:gridCol w:w="1385"/>
        <w:gridCol w:w="1385"/>
        <w:gridCol w:w="3093"/>
      </w:tblGrid>
      <w:tr w:rsidR="000B4D04" w14:paraId="419B1BA8" w14:textId="77777777">
        <w:trPr>
          <w:cantSplit/>
          <w:tblHeader/>
        </w:trPr>
        <w:tc>
          <w:tcPr>
            <w:tcW w:w="1793" w:type="dxa"/>
            <w:vMerge w:val="restart"/>
          </w:tcPr>
          <w:p w14:paraId="6EFC881F" w14:textId="77777777" w:rsidR="000B4D04" w:rsidRDefault="00B90386">
            <w:pPr>
              <w:keepNext/>
              <w:widowControl w:val="0"/>
              <w:spacing w:after="0" w:line="240" w:lineRule="auto"/>
              <w:jc w:val="center"/>
              <w:rPr>
                <w:b/>
                <w:sz w:val="24"/>
                <w:szCs w:val="24"/>
              </w:rPr>
            </w:pPr>
            <w:r>
              <w:rPr>
                <w:b/>
                <w:sz w:val="20"/>
                <w:szCs w:val="20"/>
              </w:rPr>
              <w:t>Program</w:t>
            </w:r>
          </w:p>
        </w:tc>
        <w:tc>
          <w:tcPr>
            <w:tcW w:w="820" w:type="dxa"/>
            <w:vMerge w:val="restart"/>
          </w:tcPr>
          <w:p w14:paraId="68FEF616" w14:textId="77777777" w:rsidR="000B4D04" w:rsidRDefault="00B90386">
            <w:pPr>
              <w:keepNext/>
              <w:widowControl w:val="0"/>
              <w:spacing w:after="0" w:line="240" w:lineRule="auto"/>
              <w:jc w:val="center"/>
              <w:rPr>
                <w:b/>
                <w:sz w:val="24"/>
                <w:szCs w:val="24"/>
              </w:rPr>
            </w:pPr>
            <w:r>
              <w:rPr>
                <w:b/>
                <w:sz w:val="20"/>
                <w:szCs w:val="20"/>
              </w:rPr>
              <w:t>Source of Funds</w:t>
            </w:r>
          </w:p>
        </w:tc>
        <w:tc>
          <w:tcPr>
            <w:tcW w:w="1936" w:type="dxa"/>
            <w:vMerge w:val="restart"/>
          </w:tcPr>
          <w:p w14:paraId="18338854" w14:textId="77777777" w:rsidR="000B4D04" w:rsidRDefault="00B90386">
            <w:pPr>
              <w:keepNext/>
              <w:widowControl w:val="0"/>
              <w:spacing w:after="0" w:line="240" w:lineRule="auto"/>
              <w:jc w:val="center"/>
              <w:rPr>
                <w:b/>
                <w:sz w:val="24"/>
                <w:szCs w:val="24"/>
              </w:rPr>
            </w:pPr>
            <w:r>
              <w:rPr>
                <w:b/>
                <w:sz w:val="20"/>
                <w:szCs w:val="20"/>
              </w:rPr>
              <w:t>Uses of Funds</w:t>
            </w:r>
          </w:p>
        </w:tc>
        <w:tc>
          <w:tcPr>
            <w:tcW w:w="4804" w:type="dxa"/>
            <w:gridSpan w:val="4"/>
          </w:tcPr>
          <w:p w14:paraId="0C01CC4B" w14:textId="77777777" w:rsidR="000B4D04" w:rsidRDefault="00B90386">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14:paraId="3C07218D" w14:textId="77777777" w:rsidR="000B4D04" w:rsidRDefault="00B90386">
            <w:pPr>
              <w:keepNext/>
              <w:widowControl w:val="0"/>
              <w:spacing w:after="0" w:line="240" w:lineRule="auto"/>
              <w:jc w:val="center"/>
              <w:rPr>
                <w:b/>
                <w:sz w:val="20"/>
                <w:szCs w:val="20"/>
              </w:rPr>
            </w:pPr>
            <w:r>
              <w:rPr>
                <w:b/>
                <w:sz w:val="20"/>
                <w:szCs w:val="20"/>
              </w:rPr>
              <w:t xml:space="preserve">Expected Amount Available Remainder of ConPlan </w:t>
            </w:r>
          </w:p>
          <w:p w14:paraId="789F02EC" w14:textId="77777777" w:rsidR="000B4D04" w:rsidRDefault="00B90386">
            <w:pPr>
              <w:keepNext/>
              <w:widowControl w:val="0"/>
              <w:spacing w:after="0" w:line="240" w:lineRule="auto"/>
              <w:jc w:val="center"/>
              <w:rPr>
                <w:b/>
                <w:sz w:val="24"/>
                <w:szCs w:val="24"/>
              </w:rPr>
            </w:pPr>
            <w:r>
              <w:rPr>
                <w:b/>
                <w:sz w:val="20"/>
                <w:szCs w:val="20"/>
              </w:rPr>
              <w:t>$</w:t>
            </w:r>
          </w:p>
        </w:tc>
        <w:tc>
          <w:tcPr>
            <w:tcW w:w="2448" w:type="dxa"/>
            <w:vMerge w:val="restart"/>
          </w:tcPr>
          <w:p w14:paraId="07401CBC" w14:textId="77777777" w:rsidR="000B4D04" w:rsidRDefault="00B90386">
            <w:pPr>
              <w:keepNext/>
              <w:widowControl w:val="0"/>
              <w:spacing w:after="0" w:line="240" w:lineRule="auto"/>
              <w:jc w:val="center"/>
              <w:rPr>
                <w:b/>
                <w:sz w:val="24"/>
                <w:szCs w:val="24"/>
              </w:rPr>
            </w:pPr>
            <w:r>
              <w:rPr>
                <w:b/>
                <w:sz w:val="20"/>
                <w:szCs w:val="20"/>
              </w:rPr>
              <w:t>Narrative Description</w:t>
            </w:r>
          </w:p>
        </w:tc>
      </w:tr>
      <w:tr w:rsidR="000B4D04" w14:paraId="27F258EF" w14:textId="77777777">
        <w:trPr>
          <w:cantSplit/>
          <w:tblHeader/>
        </w:trPr>
        <w:tc>
          <w:tcPr>
            <w:tcW w:w="1793" w:type="dxa"/>
            <w:vMerge/>
          </w:tcPr>
          <w:p w14:paraId="7680E12E" w14:textId="77777777" w:rsidR="000B4D04" w:rsidRDefault="000B4D04">
            <w:pPr>
              <w:keepNext/>
              <w:widowControl w:val="0"/>
              <w:spacing w:after="0" w:line="240" w:lineRule="auto"/>
              <w:jc w:val="center"/>
              <w:rPr>
                <w:b/>
                <w:sz w:val="24"/>
                <w:szCs w:val="24"/>
              </w:rPr>
            </w:pPr>
          </w:p>
        </w:tc>
        <w:tc>
          <w:tcPr>
            <w:tcW w:w="820" w:type="dxa"/>
            <w:vMerge/>
          </w:tcPr>
          <w:p w14:paraId="494BAA28" w14:textId="77777777" w:rsidR="000B4D04" w:rsidRDefault="000B4D04">
            <w:pPr>
              <w:keepNext/>
              <w:widowControl w:val="0"/>
              <w:spacing w:after="0" w:line="240" w:lineRule="auto"/>
              <w:jc w:val="center"/>
              <w:rPr>
                <w:b/>
                <w:sz w:val="24"/>
                <w:szCs w:val="24"/>
              </w:rPr>
            </w:pPr>
          </w:p>
        </w:tc>
        <w:tc>
          <w:tcPr>
            <w:tcW w:w="1936" w:type="dxa"/>
            <w:vMerge/>
          </w:tcPr>
          <w:p w14:paraId="76CB9187" w14:textId="77777777" w:rsidR="000B4D04" w:rsidRDefault="000B4D04">
            <w:pPr>
              <w:keepNext/>
              <w:widowControl w:val="0"/>
              <w:spacing w:after="0" w:line="240" w:lineRule="auto"/>
              <w:jc w:val="center"/>
              <w:rPr>
                <w:b/>
                <w:sz w:val="24"/>
                <w:szCs w:val="24"/>
              </w:rPr>
            </w:pPr>
          </w:p>
        </w:tc>
        <w:tc>
          <w:tcPr>
            <w:tcW w:w="1204" w:type="dxa"/>
          </w:tcPr>
          <w:p w14:paraId="7A9ACF71" w14:textId="77777777" w:rsidR="000B4D04" w:rsidRDefault="00B90386">
            <w:pPr>
              <w:keepNext/>
              <w:widowControl w:val="0"/>
              <w:spacing w:after="0" w:line="240" w:lineRule="auto"/>
              <w:jc w:val="center"/>
              <w:rPr>
                <w:b/>
                <w:sz w:val="24"/>
                <w:szCs w:val="24"/>
              </w:rPr>
            </w:pPr>
            <w:r>
              <w:rPr>
                <w:b/>
                <w:sz w:val="20"/>
                <w:szCs w:val="20"/>
              </w:rPr>
              <w:t>Annual Allocation: $</w:t>
            </w:r>
          </w:p>
        </w:tc>
        <w:tc>
          <w:tcPr>
            <w:tcW w:w="1260" w:type="dxa"/>
          </w:tcPr>
          <w:p w14:paraId="2015155E" w14:textId="77777777" w:rsidR="000B4D04" w:rsidRDefault="00B90386">
            <w:pPr>
              <w:keepNext/>
              <w:widowControl w:val="0"/>
              <w:spacing w:after="0" w:line="240" w:lineRule="auto"/>
              <w:jc w:val="center"/>
              <w:rPr>
                <w:b/>
                <w:sz w:val="24"/>
                <w:szCs w:val="24"/>
              </w:rPr>
            </w:pPr>
            <w:r>
              <w:rPr>
                <w:b/>
                <w:sz w:val="20"/>
                <w:szCs w:val="20"/>
              </w:rPr>
              <w:t>Program Income: $</w:t>
            </w:r>
          </w:p>
        </w:tc>
        <w:tc>
          <w:tcPr>
            <w:tcW w:w="1260" w:type="dxa"/>
          </w:tcPr>
          <w:p w14:paraId="63E17F9A" w14:textId="77777777" w:rsidR="000B4D04" w:rsidRDefault="00B90386">
            <w:pPr>
              <w:keepNext/>
              <w:widowControl w:val="0"/>
              <w:spacing w:after="0" w:line="240" w:lineRule="auto"/>
              <w:jc w:val="center"/>
              <w:rPr>
                <w:b/>
                <w:sz w:val="24"/>
                <w:szCs w:val="24"/>
              </w:rPr>
            </w:pPr>
            <w:r>
              <w:rPr>
                <w:b/>
                <w:sz w:val="20"/>
                <w:szCs w:val="20"/>
              </w:rPr>
              <w:t>Prior Year Resources: $</w:t>
            </w:r>
          </w:p>
        </w:tc>
        <w:tc>
          <w:tcPr>
            <w:tcW w:w="1080" w:type="dxa"/>
          </w:tcPr>
          <w:p w14:paraId="5CE92996" w14:textId="77777777" w:rsidR="000B4D04" w:rsidRDefault="00B90386">
            <w:pPr>
              <w:keepNext/>
              <w:widowControl w:val="0"/>
              <w:spacing w:after="0" w:line="240" w:lineRule="auto"/>
              <w:jc w:val="center"/>
              <w:rPr>
                <w:b/>
                <w:sz w:val="20"/>
                <w:szCs w:val="20"/>
              </w:rPr>
            </w:pPr>
            <w:r>
              <w:rPr>
                <w:b/>
                <w:sz w:val="20"/>
                <w:szCs w:val="20"/>
              </w:rPr>
              <w:t>Total:</w:t>
            </w:r>
          </w:p>
          <w:p w14:paraId="77ED35E2" w14:textId="77777777" w:rsidR="000B4D04" w:rsidRDefault="00B90386">
            <w:pPr>
              <w:keepNext/>
              <w:widowControl w:val="0"/>
              <w:spacing w:after="0" w:line="240" w:lineRule="auto"/>
              <w:jc w:val="center"/>
              <w:rPr>
                <w:b/>
                <w:sz w:val="24"/>
                <w:szCs w:val="24"/>
              </w:rPr>
            </w:pPr>
            <w:r>
              <w:rPr>
                <w:b/>
                <w:sz w:val="20"/>
                <w:szCs w:val="20"/>
              </w:rPr>
              <w:t>$</w:t>
            </w:r>
          </w:p>
        </w:tc>
        <w:tc>
          <w:tcPr>
            <w:tcW w:w="1260" w:type="dxa"/>
            <w:vMerge/>
          </w:tcPr>
          <w:p w14:paraId="6239097F" w14:textId="77777777" w:rsidR="000B4D04" w:rsidRDefault="000B4D04">
            <w:pPr>
              <w:keepNext/>
              <w:widowControl w:val="0"/>
              <w:spacing w:after="0" w:line="240" w:lineRule="auto"/>
              <w:jc w:val="center"/>
              <w:rPr>
                <w:b/>
                <w:sz w:val="24"/>
                <w:szCs w:val="24"/>
              </w:rPr>
            </w:pPr>
          </w:p>
        </w:tc>
        <w:tc>
          <w:tcPr>
            <w:tcW w:w="2448" w:type="dxa"/>
            <w:vMerge/>
          </w:tcPr>
          <w:p w14:paraId="412E4AA4" w14:textId="77777777" w:rsidR="000B4D04" w:rsidRDefault="000B4D04">
            <w:pPr>
              <w:keepNext/>
              <w:widowControl w:val="0"/>
              <w:spacing w:after="0" w:line="240" w:lineRule="auto"/>
              <w:jc w:val="center"/>
              <w:rPr>
                <w:b/>
                <w:sz w:val="24"/>
                <w:szCs w:val="24"/>
              </w:rPr>
            </w:pPr>
          </w:p>
        </w:tc>
      </w:tr>
      <w:tr w:rsidR="000B4D04" w14:paraId="576F563E" w14:textId="77777777">
        <w:trPr>
          <w:cantSplit/>
        </w:trPr>
        <w:tc>
          <w:tcPr>
            <w:tcW w:w="0" w:type="auto"/>
          </w:tcPr>
          <w:p w14:paraId="174A9D1F" w14:textId="77777777" w:rsidR="000B4D04" w:rsidRDefault="00B90386">
            <w:pPr>
              <w:spacing w:beforeAutospacing="1" w:afterAutospacing="1"/>
            </w:pPr>
            <w:r>
              <w:rPr>
                <w:color w:val="000000"/>
              </w:rPr>
              <w:t>CDBG</w:t>
            </w:r>
          </w:p>
        </w:tc>
        <w:tc>
          <w:tcPr>
            <w:tcW w:w="0" w:type="auto"/>
          </w:tcPr>
          <w:p w14:paraId="247A6F00" w14:textId="77777777" w:rsidR="000B4D04" w:rsidRDefault="00B90386">
            <w:pPr>
              <w:spacing w:beforeAutospacing="1" w:afterAutospacing="1"/>
            </w:pPr>
            <w:r>
              <w:rPr>
                <w:color w:val="000000"/>
              </w:rPr>
              <w:t>public - federal</w:t>
            </w:r>
          </w:p>
        </w:tc>
        <w:tc>
          <w:tcPr>
            <w:tcW w:w="0" w:type="auto"/>
          </w:tcPr>
          <w:p w14:paraId="08012A72" w14:textId="77777777" w:rsidR="000B4D04" w:rsidRDefault="00B90386">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14:paraId="2FC609EB" w14:textId="77777777" w:rsidR="000B4D04" w:rsidRDefault="00B90386">
            <w:pPr>
              <w:spacing w:beforeAutospacing="1" w:afterAutospacing="1"/>
              <w:jc w:val="right"/>
            </w:pPr>
            <w:r>
              <w:rPr>
                <w:color w:val="000000"/>
              </w:rPr>
              <w:t>917,780.00</w:t>
            </w:r>
          </w:p>
        </w:tc>
        <w:tc>
          <w:tcPr>
            <w:tcW w:w="0" w:type="auto"/>
            <w:vAlign w:val="bottom"/>
          </w:tcPr>
          <w:p w14:paraId="5B77402E" w14:textId="77777777" w:rsidR="000B4D04" w:rsidRDefault="00B90386">
            <w:pPr>
              <w:spacing w:beforeAutospacing="1" w:afterAutospacing="1"/>
              <w:jc w:val="right"/>
            </w:pPr>
            <w:r>
              <w:rPr>
                <w:color w:val="000000"/>
              </w:rPr>
              <w:t>200,000.00</w:t>
            </w:r>
          </w:p>
        </w:tc>
        <w:tc>
          <w:tcPr>
            <w:tcW w:w="0" w:type="auto"/>
            <w:vAlign w:val="bottom"/>
          </w:tcPr>
          <w:p w14:paraId="08E60D51" w14:textId="77777777" w:rsidR="000B4D04" w:rsidRDefault="00B90386">
            <w:pPr>
              <w:spacing w:beforeAutospacing="1" w:afterAutospacing="1"/>
              <w:jc w:val="right"/>
            </w:pPr>
            <w:r>
              <w:rPr>
                <w:color w:val="000000"/>
              </w:rPr>
              <w:t>466,666.00</w:t>
            </w:r>
          </w:p>
        </w:tc>
        <w:tc>
          <w:tcPr>
            <w:tcW w:w="0" w:type="auto"/>
            <w:vAlign w:val="bottom"/>
          </w:tcPr>
          <w:p w14:paraId="7C997F6A" w14:textId="77777777" w:rsidR="000B4D04" w:rsidRDefault="00B90386">
            <w:pPr>
              <w:spacing w:beforeAutospacing="1" w:afterAutospacing="1"/>
              <w:jc w:val="right"/>
            </w:pPr>
            <w:r>
              <w:rPr>
                <w:color w:val="000000"/>
              </w:rPr>
              <w:t>1,584,446.00</w:t>
            </w:r>
          </w:p>
        </w:tc>
        <w:tc>
          <w:tcPr>
            <w:tcW w:w="0" w:type="auto"/>
            <w:vAlign w:val="bottom"/>
          </w:tcPr>
          <w:p w14:paraId="27B9FF0B" w14:textId="77777777" w:rsidR="000B4D04" w:rsidRDefault="00B90386">
            <w:pPr>
              <w:spacing w:beforeAutospacing="1" w:afterAutospacing="1"/>
              <w:jc w:val="right"/>
            </w:pPr>
            <w:r>
              <w:rPr>
                <w:color w:val="000000"/>
              </w:rPr>
              <w:t>3,550,000.00</w:t>
            </w:r>
          </w:p>
        </w:tc>
        <w:tc>
          <w:tcPr>
            <w:tcW w:w="0" w:type="auto"/>
          </w:tcPr>
          <w:p w14:paraId="257A1473" w14:textId="59BD0EE2" w:rsidR="000B4D04" w:rsidRDefault="00B90386">
            <w:pPr>
              <w:spacing w:beforeAutospacing="1" w:afterAutospacing="1"/>
            </w:pPr>
            <w:r>
              <w:rPr>
                <w:color w:val="000000"/>
              </w:rPr>
              <w:t>Community Development Block Grant funds are allocated by Congressional appropriation through HUD.</w:t>
            </w:r>
            <w:r w:rsidR="00177E91">
              <w:rPr>
                <w:color w:val="000000"/>
              </w:rPr>
              <w:t xml:space="preserve"> </w:t>
            </w:r>
            <w:r>
              <w:rPr>
                <w:color w:val="000000"/>
              </w:rPr>
              <w:t>Program Income is typically generated from Housing Rehabilitation liens that are paid back (at no interest) upon sale or transfer), and is targeted for additional housing rehab activities or public improvements.</w:t>
            </w:r>
            <w:r w:rsidR="00177E91">
              <w:rPr>
                <w:color w:val="000000"/>
              </w:rPr>
              <w:t xml:space="preserve"> </w:t>
            </w:r>
            <w:r>
              <w:rPr>
                <w:color w:val="000000"/>
              </w:rPr>
              <w:t xml:space="preserve">In addition, the City is carrying over $466,666 in prior years unspent funds, mostly from unspent housing rehab, facade </w:t>
            </w:r>
            <w:r w:rsidR="00177E91">
              <w:rPr>
                <w:color w:val="000000"/>
              </w:rPr>
              <w:t>improvement</w:t>
            </w:r>
            <w:r>
              <w:rPr>
                <w:color w:val="000000"/>
              </w:rPr>
              <w:t>, first-time homebuyer and public improvement fund allocations.</w:t>
            </w:r>
          </w:p>
        </w:tc>
      </w:tr>
    </w:tbl>
    <w:p w14:paraId="654C79E3" w14:textId="77777777" w:rsidR="000B4D04" w:rsidRDefault="00B903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14:paraId="41ECF2D9" w14:textId="77777777" w:rsidR="000B4D04" w:rsidRDefault="000B4D04">
      <w:pPr>
        <w:spacing w:after="0" w:line="240" w:lineRule="auto"/>
        <w:rPr>
          <w:b/>
          <w:sz w:val="24"/>
          <w:szCs w:val="24"/>
        </w:rPr>
      </w:pPr>
    </w:p>
    <w:p w14:paraId="3A2D5290" w14:textId="77777777" w:rsidR="000B4D04" w:rsidRDefault="00B90386">
      <w:pPr>
        <w:widowControl w:val="0"/>
        <w:rPr>
          <w:b/>
          <w:sz w:val="24"/>
          <w:szCs w:val="24"/>
        </w:rPr>
      </w:pPr>
      <w:r>
        <w:rPr>
          <w:b/>
          <w:sz w:val="24"/>
          <w:szCs w:val="24"/>
        </w:rPr>
        <w:t xml:space="preserve">Explain how federal funds will leverage those additional resources (private, state and local funds), including a description of how </w:t>
      </w:r>
      <w:r>
        <w:rPr>
          <w:b/>
          <w:sz w:val="24"/>
          <w:szCs w:val="24"/>
        </w:rPr>
        <w:lastRenderedPageBreak/>
        <w:t>matching requirements will be satisfied</w:t>
      </w:r>
    </w:p>
    <w:p w14:paraId="77C52F15" w14:textId="77777777" w:rsidR="000B4D04" w:rsidRDefault="00B90386">
      <w:pPr>
        <w:widowControl w:val="0"/>
        <w:spacing w:beforeAutospacing="1" w:afterAutospacing="1"/>
        <w:rPr>
          <w:szCs w:val="24"/>
        </w:rPr>
      </w:pPr>
      <w:r>
        <w:t>Federal funding through the Community Development Block Grant program is critically important to leveraging millions of dollars in other funds, through matching other grant funds, complementary and corresponding uses for projects funded through multiple sources, and as seed money for economic development and growth.</w:t>
      </w:r>
    </w:p>
    <w:p w14:paraId="62AC317D" w14:textId="0E9C2513" w:rsidR="000B4D04" w:rsidRDefault="00B90386">
      <w:pPr>
        <w:widowControl w:val="0"/>
        <w:spacing w:beforeAutospacing="1" w:afterAutospacing="1"/>
        <w:rPr>
          <w:szCs w:val="24"/>
        </w:rPr>
      </w:pPr>
      <w:r>
        <w:t>Some of the most important outside resources are MassWorks funds, provided by the Commonwealth's Executive Office of Housing and Economic Development (EOHED).  At least $18.5 million in MassWorks funds are being allocated for the transformative District Project on Merrimack Street, which demolished the failed, sprawling former Goecke Municipal Parking Deck which featured several city blocks of underutilized and/or abandoned downtown Urban Renewal-era parcels and replaced them with a riverfront mixed-use pro</w:t>
      </w:r>
      <w:r>
        <w:t>ject featuring a new taller garage on a smaller footprint, 400 units of market-rate housing, retail, a food hall, professional offices, and a new Pentucket Bank branch.  This project ties in with previous investments in public amenities such as a Boardwalk above the Merrimack River, plazas and open space, new lighting and underground parking at Harbor Place.  While MassWorks features no match requirements, CDBG funds are anticipated to provide finish streetscape amenities along Merrimack Street when the con</w:t>
      </w:r>
      <w:r>
        <w:t xml:space="preserve">struction is completed (i.e. streetlights, sidewalks, curbing, bike lanes, </w:t>
      </w:r>
      <w:r w:rsidR="00177E91">
        <w:t>etc.</w:t>
      </w:r>
      <w:r>
        <w:t>) in combination with other sources.</w:t>
      </w:r>
    </w:p>
    <w:p w14:paraId="02F361CE" w14:textId="77777777" w:rsidR="000B4D04" w:rsidRDefault="00B90386">
      <w:pPr>
        <w:widowControl w:val="0"/>
        <w:spacing w:beforeAutospacing="1" w:afterAutospacing="1"/>
        <w:rPr>
          <w:szCs w:val="24"/>
        </w:rPr>
      </w:pPr>
      <w:r>
        <w:t>Massachusetts Cultural Council, Essex County Community Foundation and MassDevelopment grants support the activities of Creative Haverhill, a creative arts and cultural clearinghouse that is promoting the City's state-designated Riverfront Cultural District, Downtown Haverhill, public art and citywide tourism assets.  In addition, this organization is nurturing and promoting small creative sector entrepreneurs and small volunteer-led cultural organizations in the growing creative economy, generating a signif</w:t>
      </w:r>
      <w:r>
        <w:t>icant economic ripple effect.  The organization is undertaking a historic rehabilitation of the former Cogswell School in Bradford and turning it into a community arts center and studio rental space.</w:t>
      </w:r>
    </w:p>
    <w:p w14:paraId="4DFBC3B3" w14:textId="77777777" w:rsidR="000B4D04" w:rsidRDefault="00B90386">
      <w:pPr>
        <w:widowControl w:val="0"/>
        <w:spacing w:beforeAutospacing="1" w:afterAutospacing="1"/>
        <w:rPr>
          <w:szCs w:val="24"/>
        </w:rPr>
      </w:pPr>
      <w:r>
        <w:t>Gateway City Parks Grants, Greening the Gateway Cities grants, Cooling Corridor and other tree and conservation grants will return shade canopies to urban neighborhoods that serve as heat islands.</w:t>
      </w:r>
    </w:p>
    <w:p w14:paraId="4E8F75C8" w14:textId="17470C97" w:rsidR="000B4D04" w:rsidRDefault="00B90386">
      <w:pPr>
        <w:widowControl w:val="0"/>
        <w:spacing w:beforeAutospacing="1" w:afterAutospacing="1"/>
        <w:rPr>
          <w:szCs w:val="24"/>
        </w:rPr>
      </w:pPr>
      <w:r>
        <w:t>Parkland Acquisitions and Renovations for Communities (PARC) and Land and Water Conservation Fund (LWCF) grants- This State program provides 68% reimbursement for park improvements and open space programs, continued refurbishment of previously neglected City playgrounds and fields, and preservation of woodland and farmland are all prospective PARC and LWCF grant projects over the next few years.  In 2026, these grants will support enhances to the Clement Farm softball fields and disc golf ar</w:t>
      </w:r>
      <w:r>
        <w:t>ea near the New Hampshire state line.</w:t>
      </w:r>
    </w:p>
    <w:p w14:paraId="70A65CA2" w14:textId="77777777" w:rsidR="000B4D04" w:rsidRDefault="00B90386">
      <w:pPr>
        <w:widowControl w:val="0"/>
        <w:spacing w:beforeAutospacing="1" w:afterAutospacing="1"/>
        <w:rPr>
          <w:szCs w:val="24"/>
        </w:rPr>
      </w:pPr>
      <w:r>
        <w:lastRenderedPageBreak/>
        <w:t>TIP funded activities/Chapter 90- CDBG Public Improvement funds leverage and spread the reach of the City's Chapter 90 Roadway improvement funds, which are local transportation funds provided by the Commonwealth.  CDBG funds often add elements of Complete Streets to Chapter 90 roadway projects, adding amenities such as sidewalks, curbs and curb cuts, street trees and other items.  The Millionaires Tax is generating hundreds of thousands of extra dollars for City highway projects currently.</w:t>
      </w:r>
    </w:p>
    <w:p w14:paraId="393CB108" w14:textId="77777777" w:rsidR="000B4D04" w:rsidRDefault="00B90386">
      <w:pPr>
        <w:widowControl w:val="0"/>
        <w:spacing w:beforeAutospacing="1" w:afterAutospacing="1"/>
        <w:rPr>
          <w:szCs w:val="24"/>
        </w:rPr>
      </w:pPr>
      <w:r>
        <w:t>Code Enforcement- CDBG funded Code Enforcement officers leverage the City's funding of similar positions, to provide more effective and aggressive enforcement of quality of life, health, housing and safety issues in the CDBG Target Area.</w:t>
      </w:r>
    </w:p>
    <w:p w14:paraId="6860553F" w14:textId="77777777" w:rsidR="000B4D04" w:rsidRDefault="00B90386">
      <w:pPr>
        <w:widowControl w:val="0"/>
        <w:spacing w:beforeAutospacing="1" w:afterAutospacing="1"/>
        <w:rPr>
          <w:szCs w:val="24"/>
        </w:rPr>
      </w:pPr>
      <w:r>
        <w:t>Private Foundations- The City and the CDD will continue a renewed effort to address needs as they arise.</w:t>
      </w:r>
    </w:p>
    <w:p w14:paraId="52B34DD1" w14:textId="67D712D6" w:rsidR="000B4D04" w:rsidRDefault="00B90386">
      <w:pPr>
        <w:keepNext/>
        <w:widowControl w:val="0"/>
        <w:rPr>
          <w:b/>
          <w:sz w:val="24"/>
          <w:szCs w:val="24"/>
        </w:rPr>
      </w:pPr>
      <w:r>
        <w:rPr>
          <w:b/>
          <w:sz w:val="24"/>
          <w:szCs w:val="24"/>
        </w:rPr>
        <w:t xml:space="preserve">If appropriate, describe </w:t>
      </w:r>
      <w:r w:rsidR="00177E91">
        <w:rPr>
          <w:b/>
          <w:sz w:val="24"/>
          <w:szCs w:val="24"/>
        </w:rPr>
        <w:t>publicly</w:t>
      </w:r>
      <w:r>
        <w:rPr>
          <w:b/>
          <w:sz w:val="24"/>
          <w:szCs w:val="24"/>
        </w:rPr>
        <w:t xml:space="preserve"> owned land or property located within the jurisdiction that may be used to address the needs identified in the plan</w:t>
      </w:r>
    </w:p>
    <w:p w14:paraId="43BD3566" w14:textId="77777777" w:rsidR="000B4D04" w:rsidRDefault="00B90386">
      <w:pPr>
        <w:keepNext/>
        <w:widowControl w:val="0"/>
        <w:spacing w:beforeAutospacing="1" w:afterAutospacing="1"/>
        <w:rPr>
          <w:szCs w:val="24"/>
        </w:rPr>
      </w:pPr>
      <w:r>
        <w:t>There exist tracts of public land and public buildings that will be used to address needs identified in this Plan, including:</w:t>
      </w:r>
    </w:p>
    <w:p w14:paraId="4CB6682A" w14:textId="40FA8FA8" w:rsidR="000B4D04" w:rsidRDefault="00B90386">
      <w:pPr>
        <w:keepNext/>
        <w:widowControl w:val="0"/>
        <w:spacing w:beforeAutospacing="1" w:afterAutospacing="1"/>
        <w:rPr>
          <w:szCs w:val="24"/>
        </w:rPr>
      </w:pPr>
      <w:r>
        <w:t>River Rest Park, next to</w:t>
      </w:r>
      <w:r>
        <w:t xml:space="preserve"> Central Fire Station- This land could be the location for additional municipal docks and a possible community boathouse over the next few years, as the City seeks to increase use of, and access to, the Merrimack River and community rowing/boating programs.  A significant housing project was approved at the abutting site.</w:t>
      </w:r>
    </w:p>
    <w:p w14:paraId="0CC6F27F" w14:textId="6765F9CB" w:rsidR="000B4D04" w:rsidRDefault="00B90386">
      <w:pPr>
        <w:keepNext/>
        <w:widowControl w:val="0"/>
        <w:spacing w:beforeAutospacing="1" w:afterAutospacing="1"/>
        <w:rPr>
          <w:szCs w:val="24"/>
        </w:rPr>
      </w:pPr>
      <w:r>
        <w:t>Citizens Center- This public facility has experienced a recent renovation geared towards the sustainability of the structure.  New lighting, heating and air conditioning systems, bathroom upgrades and accessibility improvements all make this facility safer and more efficient to operate.  This structure houses the Human Serv</w:t>
      </w:r>
      <w:r w:rsidR="00177E91">
        <w:t>i</w:t>
      </w:r>
      <w:r>
        <w:t>ces Department, which includes the Council on Aging, Veterans representative, Meals on Wheels, Parks and Recreation, Youth programs and Disabilities Commission.  Many vulnerable populations use this facility, and the services provided here help the City achieve the goals of the Plan.</w:t>
      </w:r>
    </w:p>
    <w:p w14:paraId="4751A071" w14:textId="4E2CD1D0" w:rsidR="000B4D04" w:rsidRDefault="00B90386">
      <w:pPr>
        <w:keepNext/>
        <w:widowControl w:val="0"/>
        <w:spacing w:beforeAutospacing="1" w:afterAutospacing="1"/>
        <w:rPr>
          <w:szCs w:val="24"/>
        </w:rPr>
      </w:pPr>
      <w:r>
        <w:t>Boardwalk/Rail Trail- the City purchased an abandoned railroad corridor that runs along the southern bank of the Merrimack River across from Downtown Haverhill and heads east towards Groveland and Georgetown.  This property was transformed into a non-vehicular pedestrian path (the Bradford Rail Trail) that provides recreational amen</w:t>
      </w:r>
      <w:r>
        <w:t xml:space="preserve">ities for downtown and Bradford residents alike.  The Trail forms a loop around Downtown and the sections of the Downtown Boardwalk that already exist or plan to be added.  The Boardwalk and Rail Trail, linked by two </w:t>
      </w:r>
      <w:r>
        <w:lastRenderedPageBreak/>
        <w:t>Downtown bridges, form a 2-mile pedestrian loop that will connect residents with the Merrimack and spur additional economic development.</w:t>
      </w:r>
    </w:p>
    <w:p w14:paraId="2184F2A2" w14:textId="77777777" w:rsidR="000B4D04" w:rsidRDefault="00B90386">
      <w:pPr>
        <w:keepNext/>
        <w:widowControl w:val="0"/>
        <w:spacing w:beforeAutospacing="1" w:afterAutospacing="1"/>
        <w:rPr>
          <w:szCs w:val="24"/>
        </w:rPr>
      </w:pPr>
      <w:r>
        <w:t>Cogswell School- This former school is being utilized as a Community Arts Center in the Bradford section of the City, exposing young residents to arts programming and other benefits.</w:t>
      </w:r>
    </w:p>
    <w:p w14:paraId="045CF3B1" w14:textId="77777777" w:rsidR="000B4D04" w:rsidRDefault="00B90386">
      <w:pPr>
        <w:keepNext/>
        <w:widowControl w:val="0"/>
        <w:spacing w:beforeAutospacing="1" w:afterAutospacing="1"/>
        <w:rPr>
          <w:szCs w:val="24"/>
        </w:rPr>
      </w:pPr>
      <w:r>
        <w:t>Public Docks and Waterfront parks will also seek to connect residents with the River, bicycling opportunities, and community rowing and boating.  These facilities will also help to draw and lure economic development towards the many redevelopable parcels along the underutilized waterfront.</w:t>
      </w:r>
    </w:p>
    <w:p w14:paraId="7CFD81AC" w14:textId="77777777" w:rsidR="000B4D04" w:rsidRDefault="00B90386">
      <w:pPr>
        <w:rPr>
          <w:b/>
          <w:sz w:val="24"/>
          <w:szCs w:val="24"/>
        </w:rPr>
      </w:pPr>
      <w:r>
        <w:rPr>
          <w:b/>
          <w:sz w:val="24"/>
          <w:szCs w:val="24"/>
        </w:rPr>
        <w:t>Discussion</w:t>
      </w:r>
    </w:p>
    <w:p w14:paraId="2464A26A" w14:textId="77777777" w:rsidR="000B4D04" w:rsidRDefault="00B90386">
      <w:pPr>
        <w:spacing w:beforeAutospacing="1" w:afterAutospacing="1"/>
      </w:pPr>
      <w:r>
        <w:t>As the City acquires parcels of land through unpaid tax title, every effort is made to sell off the land to provide additional revenues for the City. Where redevelopment of the lot is feasible, the City contacts Habitat for Humanity or other housing providers for the purposes of developing permanent affordable housing, or providing greenspace or adding to the lot size of a preexisting property.  These sorts of parcels 'fall' into the City's possession fairly regularly.  Going forward, the City will likely s</w:t>
      </w:r>
      <w:r>
        <w:t>hift its focus towards getting the best proposal for housing options (such as homeownership) and reduced neighborhood impact rather than recouping top dollar for a 'lower common denominator' project. </w:t>
      </w:r>
    </w:p>
    <w:p w14:paraId="43B78AF5" w14:textId="77777777" w:rsidR="000B4D04" w:rsidRDefault="00B90386">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14:paraId="735AB9A9" w14:textId="77777777" w:rsidR="000B4D04" w:rsidRDefault="00B90386">
      <w:pPr>
        <w:rPr>
          <w:b/>
          <w:sz w:val="28"/>
          <w:szCs w:val="28"/>
        </w:rPr>
      </w:pPr>
      <w:r>
        <w:rPr>
          <w:b/>
          <w:sz w:val="28"/>
          <w:szCs w:val="28"/>
        </w:rPr>
        <w:t>AP-20 Annual Goals and Objectives - 91.420, 91.220(c)(3)&amp;(e)</w:t>
      </w:r>
    </w:p>
    <w:p w14:paraId="7A916E5E" w14:textId="77777777" w:rsidR="000B4D04" w:rsidRDefault="00B90386">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957"/>
        <w:gridCol w:w="663"/>
        <w:gridCol w:w="663"/>
        <w:gridCol w:w="1664"/>
        <w:gridCol w:w="1417"/>
        <w:gridCol w:w="1948"/>
        <w:gridCol w:w="1434"/>
        <w:gridCol w:w="3274"/>
      </w:tblGrid>
      <w:tr w:rsidR="000B4D04" w14:paraId="6826DEEA" w14:textId="77777777">
        <w:trPr>
          <w:cantSplit/>
          <w:trHeight w:val="486"/>
          <w:tblHeader/>
        </w:trPr>
        <w:tc>
          <w:tcPr>
            <w:tcW w:w="1808" w:type="dxa"/>
          </w:tcPr>
          <w:p w14:paraId="38441498" w14:textId="77777777" w:rsidR="000B4D04" w:rsidRDefault="00B90386">
            <w:pPr>
              <w:keepNext/>
              <w:widowControl w:val="0"/>
              <w:spacing w:after="0" w:line="240" w:lineRule="auto"/>
              <w:jc w:val="center"/>
              <w:rPr>
                <w:b/>
                <w:sz w:val="20"/>
                <w:szCs w:val="20"/>
              </w:rPr>
            </w:pPr>
            <w:r>
              <w:rPr>
                <w:b/>
                <w:sz w:val="20"/>
                <w:szCs w:val="20"/>
              </w:rPr>
              <w:t>Sort Order</w:t>
            </w:r>
          </w:p>
        </w:tc>
        <w:tc>
          <w:tcPr>
            <w:tcW w:w="1809" w:type="dxa"/>
          </w:tcPr>
          <w:p w14:paraId="26D6DC38" w14:textId="77777777" w:rsidR="000B4D04" w:rsidRDefault="00B90386">
            <w:pPr>
              <w:keepNext/>
              <w:widowControl w:val="0"/>
              <w:spacing w:after="0" w:line="240" w:lineRule="auto"/>
              <w:jc w:val="center"/>
              <w:rPr>
                <w:b/>
                <w:sz w:val="20"/>
                <w:szCs w:val="20"/>
              </w:rPr>
            </w:pPr>
            <w:r>
              <w:rPr>
                <w:b/>
                <w:sz w:val="20"/>
                <w:szCs w:val="20"/>
              </w:rPr>
              <w:t>Goal Name</w:t>
            </w:r>
          </w:p>
        </w:tc>
        <w:tc>
          <w:tcPr>
            <w:tcW w:w="582" w:type="dxa"/>
          </w:tcPr>
          <w:p w14:paraId="1BCB1162" w14:textId="77777777" w:rsidR="000B4D04" w:rsidRDefault="00B90386">
            <w:pPr>
              <w:keepNext/>
              <w:widowControl w:val="0"/>
              <w:spacing w:after="0" w:line="240" w:lineRule="auto"/>
              <w:jc w:val="center"/>
              <w:rPr>
                <w:b/>
                <w:sz w:val="20"/>
                <w:szCs w:val="20"/>
              </w:rPr>
            </w:pPr>
            <w:r>
              <w:rPr>
                <w:b/>
                <w:sz w:val="20"/>
                <w:szCs w:val="20"/>
              </w:rPr>
              <w:t>Start Year</w:t>
            </w:r>
          </w:p>
        </w:tc>
        <w:tc>
          <w:tcPr>
            <w:tcW w:w="555" w:type="dxa"/>
          </w:tcPr>
          <w:p w14:paraId="5866A98D" w14:textId="77777777" w:rsidR="000B4D04" w:rsidRDefault="00B90386">
            <w:pPr>
              <w:keepNext/>
              <w:widowControl w:val="0"/>
              <w:spacing w:after="0" w:line="240" w:lineRule="auto"/>
              <w:jc w:val="center"/>
              <w:rPr>
                <w:b/>
                <w:sz w:val="20"/>
                <w:szCs w:val="20"/>
              </w:rPr>
            </w:pPr>
            <w:r>
              <w:rPr>
                <w:b/>
                <w:sz w:val="20"/>
                <w:szCs w:val="20"/>
              </w:rPr>
              <w:t>End Year</w:t>
            </w:r>
          </w:p>
        </w:tc>
        <w:tc>
          <w:tcPr>
            <w:tcW w:w="1236" w:type="dxa"/>
          </w:tcPr>
          <w:p w14:paraId="758374F7" w14:textId="77777777" w:rsidR="000B4D04" w:rsidRDefault="00B90386">
            <w:pPr>
              <w:keepNext/>
              <w:widowControl w:val="0"/>
              <w:spacing w:after="0" w:line="240" w:lineRule="auto"/>
              <w:jc w:val="center"/>
              <w:rPr>
                <w:b/>
                <w:sz w:val="20"/>
                <w:szCs w:val="20"/>
              </w:rPr>
            </w:pPr>
            <w:r>
              <w:rPr>
                <w:b/>
                <w:sz w:val="20"/>
                <w:szCs w:val="20"/>
              </w:rPr>
              <w:t>Category</w:t>
            </w:r>
          </w:p>
        </w:tc>
        <w:tc>
          <w:tcPr>
            <w:tcW w:w="1287" w:type="dxa"/>
          </w:tcPr>
          <w:p w14:paraId="4F2B1367" w14:textId="77777777" w:rsidR="000B4D04" w:rsidRDefault="00B90386">
            <w:pPr>
              <w:keepNext/>
              <w:widowControl w:val="0"/>
              <w:spacing w:after="0" w:line="240" w:lineRule="auto"/>
              <w:jc w:val="center"/>
              <w:rPr>
                <w:b/>
                <w:sz w:val="20"/>
                <w:szCs w:val="20"/>
              </w:rPr>
            </w:pPr>
            <w:r>
              <w:rPr>
                <w:b/>
                <w:sz w:val="20"/>
                <w:szCs w:val="20"/>
              </w:rPr>
              <w:t>Geographic Area</w:t>
            </w:r>
          </w:p>
        </w:tc>
        <w:tc>
          <w:tcPr>
            <w:tcW w:w="1172" w:type="dxa"/>
          </w:tcPr>
          <w:p w14:paraId="42943102" w14:textId="77777777" w:rsidR="000B4D04" w:rsidRDefault="00B90386">
            <w:pPr>
              <w:keepNext/>
              <w:widowControl w:val="0"/>
              <w:spacing w:after="0" w:line="240" w:lineRule="auto"/>
              <w:jc w:val="center"/>
              <w:rPr>
                <w:b/>
                <w:sz w:val="20"/>
                <w:szCs w:val="20"/>
              </w:rPr>
            </w:pPr>
            <w:r>
              <w:rPr>
                <w:b/>
                <w:sz w:val="20"/>
                <w:szCs w:val="20"/>
              </w:rPr>
              <w:t>Needs Addressed</w:t>
            </w:r>
          </w:p>
        </w:tc>
        <w:tc>
          <w:tcPr>
            <w:tcW w:w="2345" w:type="dxa"/>
          </w:tcPr>
          <w:p w14:paraId="4A28E45B" w14:textId="77777777" w:rsidR="000B4D04" w:rsidRDefault="00B90386">
            <w:pPr>
              <w:keepNext/>
              <w:widowControl w:val="0"/>
              <w:spacing w:after="0" w:line="240" w:lineRule="auto"/>
              <w:jc w:val="center"/>
              <w:rPr>
                <w:b/>
                <w:sz w:val="20"/>
                <w:szCs w:val="20"/>
              </w:rPr>
            </w:pPr>
            <w:r>
              <w:rPr>
                <w:b/>
                <w:sz w:val="20"/>
                <w:szCs w:val="20"/>
              </w:rPr>
              <w:t>Funding</w:t>
            </w:r>
          </w:p>
        </w:tc>
        <w:tc>
          <w:tcPr>
            <w:tcW w:w="3283" w:type="dxa"/>
          </w:tcPr>
          <w:p w14:paraId="1DCD4D9A" w14:textId="77777777" w:rsidR="000B4D04" w:rsidRDefault="00B90386">
            <w:pPr>
              <w:keepNext/>
              <w:widowControl w:val="0"/>
              <w:spacing w:after="0" w:line="240" w:lineRule="auto"/>
              <w:jc w:val="center"/>
              <w:rPr>
                <w:b/>
                <w:sz w:val="20"/>
                <w:szCs w:val="20"/>
              </w:rPr>
            </w:pPr>
            <w:r>
              <w:rPr>
                <w:b/>
                <w:sz w:val="20"/>
                <w:szCs w:val="20"/>
              </w:rPr>
              <w:t>Goal Outcome Indicator</w:t>
            </w:r>
          </w:p>
        </w:tc>
      </w:tr>
      <w:tr w:rsidR="000B4D04" w14:paraId="23F13CA3" w14:textId="77777777">
        <w:trPr>
          <w:cantSplit/>
        </w:trPr>
        <w:tc>
          <w:tcPr>
            <w:tcW w:w="0" w:type="auto"/>
          </w:tcPr>
          <w:p w14:paraId="3642AC46" w14:textId="77777777" w:rsidR="000B4D04" w:rsidRDefault="00B90386">
            <w:pPr>
              <w:spacing w:beforeAutospacing="1" w:afterAutospacing="1"/>
            </w:pPr>
            <w:r>
              <w:rPr>
                <w:b/>
                <w:color w:val="000000"/>
              </w:rPr>
              <w:t>1</w:t>
            </w:r>
          </w:p>
        </w:tc>
        <w:tc>
          <w:tcPr>
            <w:tcW w:w="0" w:type="auto"/>
          </w:tcPr>
          <w:p w14:paraId="36D7B72C" w14:textId="77777777" w:rsidR="000B4D04" w:rsidRDefault="00B90386">
            <w:pPr>
              <w:spacing w:beforeAutospacing="1" w:afterAutospacing="1"/>
            </w:pPr>
            <w:r>
              <w:rPr>
                <w:color w:val="000000"/>
              </w:rPr>
              <w:t>Maintain Housing Stock</w:t>
            </w:r>
          </w:p>
        </w:tc>
        <w:tc>
          <w:tcPr>
            <w:tcW w:w="0" w:type="auto"/>
          </w:tcPr>
          <w:p w14:paraId="0C9AE03D" w14:textId="77777777" w:rsidR="000B4D04" w:rsidRDefault="00B90386">
            <w:pPr>
              <w:spacing w:beforeAutospacing="1" w:afterAutospacing="1"/>
              <w:jc w:val="right"/>
            </w:pPr>
            <w:r>
              <w:rPr>
                <w:color w:val="000000"/>
              </w:rPr>
              <w:t>2015</w:t>
            </w:r>
          </w:p>
        </w:tc>
        <w:tc>
          <w:tcPr>
            <w:tcW w:w="0" w:type="auto"/>
          </w:tcPr>
          <w:p w14:paraId="2C99420D" w14:textId="77777777" w:rsidR="000B4D04" w:rsidRDefault="00B90386">
            <w:pPr>
              <w:spacing w:beforeAutospacing="1" w:afterAutospacing="1"/>
              <w:jc w:val="right"/>
            </w:pPr>
            <w:r>
              <w:rPr>
                <w:color w:val="000000"/>
              </w:rPr>
              <w:t>2020</w:t>
            </w:r>
          </w:p>
        </w:tc>
        <w:tc>
          <w:tcPr>
            <w:tcW w:w="0" w:type="auto"/>
          </w:tcPr>
          <w:p w14:paraId="0E87C7EA" w14:textId="77777777" w:rsidR="000B4D04" w:rsidRDefault="00B90386">
            <w:pPr>
              <w:spacing w:beforeAutospacing="1" w:afterAutospacing="1"/>
            </w:pPr>
            <w:r>
              <w:rPr>
                <w:color w:val="000000"/>
              </w:rPr>
              <w:t>Affordable Housing</w:t>
            </w:r>
          </w:p>
        </w:tc>
        <w:tc>
          <w:tcPr>
            <w:tcW w:w="0" w:type="auto"/>
          </w:tcPr>
          <w:p w14:paraId="0A0D11A9" w14:textId="77777777" w:rsidR="000B4D04" w:rsidRDefault="00B90386">
            <w:pPr>
              <w:spacing w:beforeAutospacing="1" w:afterAutospacing="1"/>
            </w:pPr>
            <w:r>
              <w:rPr>
                <w:color w:val="000000"/>
              </w:rPr>
              <w:t>CDBG TARGET AREA</w:t>
            </w:r>
            <w:r>
              <w:rPr>
                <w:color w:val="000000"/>
              </w:rPr>
              <w:br/>
            </w:r>
            <w:r>
              <w:rPr>
                <w:color w:val="000000"/>
              </w:rPr>
              <w:t>Lower Acre NRSA</w:t>
            </w:r>
            <w:r>
              <w:rPr>
                <w:color w:val="000000"/>
              </w:rPr>
              <w:br/>
              <w:t>Mount Washington NRSA</w:t>
            </w:r>
          </w:p>
        </w:tc>
        <w:tc>
          <w:tcPr>
            <w:tcW w:w="0" w:type="auto"/>
          </w:tcPr>
          <w:p w14:paraId="326B35F8" w14:textId="77777777" w:rsidR="000B4D04" w:rsidRDefault="00B90386">
            <w:pPr>
              <w:spacing w:beforeAutospacing="1" w:afterAutospacing="1"/>
            </w:pPr>
            <w:r>
              <w:rPr>
                <w:color w:val="000000"/>
              </w:rPr>
              <w:t>Enhance Public Safety and Health</w:t>
            </w:r>
            <w:r>
              <w:rPr>
                <w:color w:val="000000"/>
              </w:rPr>
              <w:br/>
              <w:t>Expand Type, Diversity and Supply of Housing</w:t>
            </w:r>
            <w:r>
              <w:rPr>
                <w:color w:val="000000"/>
              </w:rPr>
              <w:br/>
              <w:t>Increase Owner-Occupancy in Target Neighborhoods</w:t>
            </w:r>
            <w:r>
              <w:rPr>
                <w:color w:val="000000"/>
              </w:rPr>
              <w:br/>
              <w:t>Maintain, Preserve and Improve Housing Stock</w:t>
            </w:r>
            <w:r>
              <w:rPr>
                <w:color w:val="000000"/>
              </w:rPr>
              <w:br/>
              <w:t>Promote Neighborhood Stabilization</w:t>
            </w:r>
          </w:p>
        </w:tc>
        <w:tc>
          <w:tcPr>
            <w:tcW w:w="0" w:type="auto"/>
          </w:tcPr>
          <w:p w14:paraId="56024010" w14:textId="77777777" w:rsidR="000B4D04" w:rsidRDefault="00B90386">
            <w:pPr>
              <w:spacing w:beforeAutospacing="1" w:afterAutospacing="1"/>
              <w:jc w:val="right"/>
            </w:pPr>
            <w:r>
              <w:rPr>
                <w:color w:val="000000"/>
              </w:rPr>
              <w:t>CDBG: $751,666.00</w:t>
            </w:r>
          </w:p>
        </w:tc>
        <w:tc>
          <w:tcPr>
            <w:tcW w:w="0" w:type="auto"/>
          </w:tcPr>
          <w:p w14:paraId="2F607EE7" w14:textId="77777777" w:rsidR="000B4D04" w:rsidRDefault="00B90386">
            <w:pPr>
              <w:spacing w:beforeAutospacing="1" w:afterAutospacing="1"/>
            </w:pPr>
            <w:r>
              <w:rPr>
                <w:color w:val="000000"/>
              </w:rPr>
              <w:t>Public Facility or Infrastructure Activities for Low/Moderate Income Housing Benefit: 6 Households Assisted</w:t>
            </w:r>
            <w:r>
              <w:rPr>
                <w:color w:val="000000"/>
              </w:rPr>
              <w:br/>
              <w:t>Rental units rehabilitated: 8 Household Housing Unit</w:t>
            </w:r>
            <w:r>
              <w:rPr>
                <w:color w:val="000000"/>
              </w:rPr>
              <w:br/>
              <w:t>Homeowner Housing Rehabilitated: 28 Household Housing Unit</w:t>
            </w:r>
          </w:p>
        </w:tc>
      </w:tr>
      <w:tr w:rsidR="000B4D04" w14:paraId="4222BF88" w14:textId="77777777">
        <w:trPr>
          <w:cantSplit/>
        </w:trPr>
        <w:tc>
          <w:tcPr>
            <w:tcW w:w="0" w:type="auto"/>
          </w:tcPr>
          <w:p w14:paraId="78AFEF16" w14:textId="77777777" w:rsidR="000B4D04" w:rsidRDefault="00B90386">
            <w:pPr>
              <w:spacing w:beforeAutospacing="1" w:afterAutospacing="1"/>
            </w:pPr>
            <w:r>
              <w:rPr>
                <w:b/>
                <w:color w:val="000000"/>
              </w:rPr>
              <w:lastRenderedPageBreak/>
              <w:t>2</w:t>
            </w:r>
          </w:p>
        </w:tc>
        <w:tc>
          <w:tcPr>
            <w:tcW w:w="0" w:type="auto"/>
          </w:tcPr>
          <w:p w14:paraId="10740FD6" w14:textId="77777777" w:rsidR="000B4D04" w:rsidRDefault="00B90386">
            <w:pPr>
              <w:spacing w:beforeAutospacing="1" w:afterAutospacing="1"/>
            </w:pPr>
            <w:r>
              <w:rPr>
                <w:color w:val="000000"/>
              </w:rPr>
              <w:t>Provide Shelter and Services for Homeless</w:t>
            </w:r>
          </w:p>
        </w:tc>
        <w:tc>
          <w:tcPr>
            <w:tcW w:w="0" w:type="auto"/>
          </w:tcPr>
          <w:p w14:paraId="4F904D7F" w14:textId="77777777" w:rsidR="000B4D04" w:rsidRDefault="00B90386">
            <w:pPr>
              <w:spacing w:beforeAutospacing="1" w:afterAutospacing="1"/>
              <w:jc w:val="right"/>
            </w:pPr>
            <w:r>
              <w:rPr>
                <w:color w:val="000000"/>
              </w:rPr>
              <w:t>2020</w:t>
            </w:r>
          </w:p>
        </w:tc>
        <w:tc>
          <w:tcPr>
            <w:tcW w:w="0" w:type="auto"/>
          </w:tcPr>
          <w:p w14:paraId="6DF9E949" w14:textId="77777777" w:rsidR="000B4D04" w:rsidRDefault="00B90386">
            <w:pPr>
              <w:spacing w:beforeAutospacing="1" w:afterAutospacing="1"/>
              <w:jc w:val="right"/>
            </w:pPr>
            <w:r>
              <w:rPr>
                <w:color w:val="000000"/>
              </w:rPr>
              <w:t>2024</w:t>
            </w:r>
          </w:p>
        </w:tc>
        <w:tc>
          <w:tcPr>
            <w:tcW w:w="0" w:type="auto"/>
          </w:tcPr>
          <w:p w14:paraId="277781CB" w14:textId="77777777" w:rsidR="000B4D04" w:rsidRDefault="00B90386">
            <w:pPr>
              <w:spacing w:beforeAutospacing="1" w:afterAutospacing="1"/>
            </w:pPr>
            <w:r>
              <w:rPr>
                <w:color w:val="000000"/>
              </w:rPr>
              <w:t>Homeless</w:t>
            </w:r>
          </w:p>
        </w:tc>
        <w:tc>
          <w:tcPr>
            <w:tcW w:w="0" w:type="auto"/>
          </w:tcPr>
          <w:p w14:paraId="2EBB0E5B" w14:textId="77777777" w:rsidR="000B4D04" w:rsidRDefault="00B90386">
            <w:pPr>
              <w:spacing w:beforeAutospacing="1" w:afterAutospacing="1"/>
            </w:pPr>
            <w:r>
              <w:rPr>
                <w:color w:val="000000"/>
              </w:rPr>
              <w:t>CDBG TARGET AREA</w:t>
            </w:r>
            <w:r>
              <w:rPr>
                <w:color w:val="000000"/>
              </w:rPr>
              <w:br/>
              <w:t>Lower Acre NRSA</w:t>
            </w:r>
            <w:r>
              <w:rPr>
                <w:color w:val="000000"/>
              </w:rPr>
              <w:br/>
              <w:t>Mount Washington NRSA</w:t>
            </w:r>
          </w:p>
        </w:tc>
        <w:tc>
          <w:tcPr>
            <w:tcW w:w="0" w:type="auto"/>
          </w:tcPr>
          <w:p w14:paraId="59228915" w14:textId="77777777" w:rsidR="000B4D04" w:rsidRDefault="00B90386">
            <w:pPr>
              <w:spacing w:beforeAutospacing="1" w:afterAutospacing="1"/>
            </w:pPr>
            <w:r>
              <w:rPr>
                <w:color w:val="000000"/>
              </w:rPr>
              <w:t>Connection to Resources and Economic Opportunities</w:t>
            </w:r>
            <w:r>
              <w:rPr>
                <w:color w:val="000000"/>
              </w:rPr>
              <w:br/>
              <w:t>Enhance Public Safety and Health</w:t>
            </w:r>
            <w:r>
              <w:rPr>
                <w:color w:val="000000"/>
              </w:rPr>
              <w:br/>
              <w:t>Promote Neighborhood Stabilization</w:t>
            </w:r>
            <w:r>
              <w:rPr>
                <w:color w:val="000000"/>
              </w:rPr>
              <w:br/>
              <w:t>Provide Basic Shelter and Services for Homeless</w:t>
            </w:r>
          </w:p>
        </w:tc>
        <w:tc>
          <w:tcPr>
            <w:tcW w:w="0" w:type="auto"/>
          </w:tcPr>
          <w:p w14:paraId="1CF1C42C" w14:textId="77777777" w:rsidR="000B4D04" w:rsidRDefault="00B90386">
            <w:pPr>
              <w:spacing w:beforeAutospacing="1" w:afterAutospacing="1"/>
              <w:jc w:val="right"/>
            </w:pPr>
            <w:r>
              <w:rPr>
                <w:color w:val="000000"/>
              </w:rPr>
              <w:t>CDBG: $81,338.75</w:t>
            </w:r>
          </w:p>
        </w:tc>
        <w:tc>
          <w:tcPr>
            <w:tcW w:w="0" w:type="auto"/>
          </w:tcPr>
          <w:p w14:paraId="01FF81C9" w14:textId="77777777" w:rsidR="000B4D04" w:rsidRDefault="00B90386">
            <w:pPr>
              <w:spacing w:beforeAutospacing="1" w:afterAutospacing="1"/>
            </w:pPr>
            <w:r>
              <w:rPr>
                <w:color w:val="000000"/>
              </w:rPr>
              <w:t>Public service activities other than Low/Moderate Income Housing Benefit: 105 Persons Assisted</w:t>
            </w:r>
            <w:r>
              <w:rPr>
                <w:color w:val="000000"/>
              </w:rPr>
              <w:br/>
              <w:t>Overnight/Emergency Shelter/Transitional Housing Beds added: 138 Beds</w:t>
            </w:r>
            <w:r>
              <w:rPr>
                <w:color w:val="000000"/>
              </w:rPr>
              <w:br/>
              <w:t>Homelessness Prevention: 75 Persons Assisted</w:t>
            </w:r>
          </w:p>
        </w:tc>
      </w:tr>
      <w:tr w:rsidR="000B4D04" w14:paraId="39D0621C" w14:textId="77777777">
        <w:trPr>
          <w:cantSplit/>
        </w:trPr>
        <w:tc>
          <w:tcPr>
            <w:tcW w:w="0" w:type="auto"/>
          </w:tcPr>
          <w:p w14:paraId="4A1A9123" w14:textId="77777777" w:rsidR="000B4D04" w:rsidRDefault="00B90386">
            <w:pPr>
              <w:spacing w:beforeAutospacing="1" w:afterAutospacing="1"/>
            </w:pPr>
            <w:r>
              <w:rPr>
                <w:b/>
                <w:color w:val="000000"/>
              </w:rPr>
              <w:t>3</w:t>
            </w:r>
          </w:p>
        </w:tc>
        <w:tc>
          <w:tcPr>
            <w:tcW w:w="0" w:type="auto"/>
          </w:tcPr>
          <w:p w14:paraId="783EB631" w14:textId="77777777" w:rsidR="000B4D04" w:rsidRDefault="00B90386">
            <w:pPr>
              <w:spacing w:beforeAutospacing="1" w:afterAutospacing="1"/>
            </w:pPr>
            <w:r>
              <w:rPr>
                <w:color w:val="000000"/>
              </w:rPr>
              <w:t>Provide other non-housing necessities</w:t>
            </w:r>
          </w:p>
        </w:tc>
        <w:tc>
          <w:tcPr>
            <w:tcW w:w="0" w:type="auto"/>
          </w:tcPr>
          <w:p w14:paraId="18E064C6" w14:textId="77777777" w:rsidR="000B4D04" w:rsidRDefault="00B90386">
            <w:pPr>
              <w:spacing w:beforeAutospacing="1" w:afterAutospacing="1"/>
              <w:jc w:val="right"/>
            </w:pPr>
            <w:r>
              <w:rPr>
                <w:color w:val="000000"/>
              </w:rPr>
              <w:t>2020</w:t>
            </w:r>
          </w:p>
        </w:tc>
        <w:tc>
          <w:tcPr>
            <w:tcW w:w="0" w:type="auto"/>
          </w:tcPr>
          <w:p w14:paraId="7386B3DA" w14:textId="77777777" w:rsidR="000B4D04" w:rsidRDefault="00B90386">
            <w:pPr>
              <w:spacing w:beforeAutospacing="1" w:afterAutospacing="1"/>
              <w:jc w:val="right"/>
            </w:pPr>
            <w:r>
              <w:rPr>
                <w:color w:val="000000"/>
              </w:rPr>
              <w:t>2024</w:t>
            </w:r>
          </w:p>
        </w:tc>
        <w:tc>
          <w:tcPr>
            <w:tcW w:w="0" w:type="auto"/>
          </w:tcPr>
          <w:p w14:paraId="11AEADAE" w14:textId="77777777" w:rsidR="000B4D04" w:rsidRDefault="00B90386">
            <w:pPr>
              <w:spacing w:beforeAutospacing="1" w:afterAutospacing="1"/>
            </w:pPr>
            <w:r>
              <w:rPr>
                <w:color w:val="000000"/>
              </w:rPr>
              <w:t>Homeless</w:t>
            </w:r>
            <w:r>
              <w:rPr>
                <w:color w:val="000000"/>
              </w:rPr>
              <w:br/>
              <w:t>Non-Homeless Special Needs</w:t>
            </w:r>
            <w:r>
              <w:rPr>
                <w:color w:val="000000"/>
              </w:rPr>
              <w:br/>
              <w:t>Non-Housing Community Development</w:t>
            </w:r>
          </w:p>
        </w:tc>
        <w:tc>
          <w:tcPr>
            <w:tcW w:w="0" w:type="auto"/>
          </w:tcPr>
          <w:p w14:paraId="7549ACDF" w14:textId="77777777" w:rsidR="000B4D04" w:rsidRDefault="00B90386">
            <w:pPr>
              <w:spacing w:beforeAutospacing="1" w:afterAutospacing="1"/>
            </w:pPr>
            <w:r>
              <w:rPr>
                <w:color w:val="000000"/>
              </w:rPr>
              <w:t>CDBG TARGET AREA</w:t>
            </w:r>
            <w:r>
              <w:rPr>
                <w:color w:val="000000"/>
              </w:rPr>
              <w:br/>
              <w:t>Lower Acre NRSA</w:t>
            </w:r>
            <w:r>
              <w:rPr>
                <w:color w:val="000000"/>
              </w:rPr>
              <w:br/>
              <w:t>Mount Washington NRSA</w:t>
            </w:r>
          </w:p>
        </w:tc>
        <w:tc>
          <w:tcPr>
            <w:tcW w:w="0" w:type="auto"/>
          </w:tcPr>
          <w:p w14:paraId="2679DDDA" w14:textId="77777777" w:rsidR="000B4D04" w:rsidRDefault="00B90386">
            <w:pPr>
              <w:spacing w:beforeAutospacing="1" w:afterAutospacing="1"/>
            </w:pPr>
            <w:r>
              <w:rPr>
                <w:color w:val="000000"/>
              </w:rPr>
              <w:t>Connection to Resources and Economic Opportunities</w:t>
            </w:r>
            <w:r>
              <w:rPr>
                <w:color w:val="000000"/>
              </w:rPr>
              <w:br/>
              <w:t>Enhance Public Safety and Health</w:t>
            </w:r>
            <w:r>
              <w:rPr>
                <w:color w:val="000000"/>
              </w:rPr>
              <w:br/>
              <w:t>Promote Neighborhood Stabilization</w:t>
            </w:r>
            <w:r>
              <w:rPr>
                <w:color w:val="000000"/>
              </w:rPr>
              <w:br/>
              <w:t>Provide for Non-Housing-related Basic Needs</w:t>
            </w:r>
          </w:p>
        </w:tc>
        <w:tc>
          <w:tcPr>
            <w:tcW w:w="0" w:type="auto"/>
          </w:tcPr>
          <w:p w14:paraId="2C40AAF8" w14:textId="77777777" w:rsidR="000B4D04" w:rsidRDefault="00B90386">
            <w:pPr>
              <w:spacing w:beforeAutospacing="1" w:afterAutospacing="1"/>
              <w:jc w:val="right"/>
            </w:pPr>
            <w:r>
              <w:rPr>
                <w:color w:val="000000"/>
              </w:rPr>
              <w:t>CDBG: $156,388.75</w:t>
            </w:r>
          </w:p>
        </w:tc>
        <w:tc>
          <w:tcPr>
            <w:tcW w:w="0" w:type="auto"/>
          </w:tcPr>
          <w:p w14:paraId="47EBBD77" w14:textId="77777777" w:rsidR="000B4D04" w:rsidRDefault="00B90386">
            <w:pPr>
              <w:spacing w:beforeAutospacing="1" w:afterAutospacing="1"/>
            </w:pPr>
            <w:r>
              <w:rPr>
                <w:color w:val="000000"/>
              </w:rPr>
              <w:t>Public service activities other than Low/Moderate Income Housing Benefit: 2697 Persons Assisted</w:t>
            </w:r>
            <w:r>
              <w:rPr>
                <w:color w:val="000000"/>
              </w:rPr>
              <w:br/>
              <w:t>Homelessness Prevention: 18 Persons Assisted</w:t>
            </w:r>
          </w:p>
        </w:tc>
      </w:tr>
      <w:tr w:rsidR="000B4D04" w14:paraId="0441170C" w14:textId="77777777">
        <w:trPr>
          <w:cantSplit/>
        </w:trPr>
        <w:tc>
          <w:tcPr>
            <w:tcW w:w="0" w:type="auto"/>
          </w:tcPr>
          <w:p w14:paraId="0A50AAE3" w14:textId="77777777" w:rsidR="000B4D04" w:rsidRDefault="00B90386">
            <w:pPr>
              <w:spacing w:beforeAutospacing="1" w:afterAutospacing="1"/>
            </w:pPr>
            <w:r>
              <w:rPr>
                <w:b/>
                <w:color w:val="000000"/>
              </w:rPr>
              <w:lastRenderedPageBreak/>
              <w:t>4</w:t>
            </w:r>
          </w:p>
        </w:tc>
        <w:tc>
          <w:tcPr>
            <w:tcW w:w="0" w:type="auto"/>
          </w:tcPr>
          <w:p w14:paraId="53B86A5B" w14:textId="77777777" w:rsidR="000B4D04" w:rsidRDefault="00B90386">
            <w:pPr>
              <w:spacing w:beforeAutospacing="1" w:afterAutospacing="1"/>
            </w:pPr>
            <w:r>
              <w:rPr>
                <w:color w:val="000000"/>
              </w:rPr>
              <w:t>Promote Neighborhood-Based Economic Development</w:t>
            </w:r>
          </w:p>
        </w:tc>
        <w:tc>
          <w:tcPr>
            <w:tcW w:w="0" w:type="auto"/>
          </w:tcPr>
          <w:p w14:paraId="64D4FF1F" w14:textId="77777777" w:rsidR="000B4D04" w:rsidRDefault="00B90386">
            <w:pPr>
              <w:spacing w:beforeAutospacing="1" w:afterAutospacing="1"/>
              <w:jc w:val="right"/>
            </w:pPr>
            <w:r>
              <w:rPr>
                <w:color w:val="000000"/>
              </w:rPr>
              <w:t>2025</w:t>
            </w:r>
          </w:p>
        </w:tc>
        <w:tc>
          <w:tcPr>
            <w:tcW w:w="0" w:type="auto"/>
          </w:tcPr>
          <w:p w14:paraId="5A4C2ED6" w14:textId="77777777" w:rsidR="000B4D04" w:rsidRDefault="00B90386">
            <w:pPr>
              <w:spacing w:beforeAutospacing="1" w:afterAutospacing="1"/>
              <w:jc w:val="right"/>
            </w:pPr>
            <w:r>
              <w:rPr>
                <w:color w:val="000000"/>
              </w:rPr>
              <w:t>2029</w:t>
            </w:r>
          </w:p>
        </w:tc>
        <w:tc>
          <w:tcPr>
            <w:tcW w:w="0" w:type="auto"/>
          </w:tcPr>
          <w:p w14:paraId="37ADBB22" w14:textId="77777777" w:rsidR="000B4D04" w:rsidRDefault="00B90386">
            <w:pPr>
              <w:spacing w:beforeAutospacing="1" w:afterAutospacing="1"/>
            </w:pPr>
            <w:r>
              <w:rPr>
                <w:color w:val="000000"/>
              </w:rPr>
              <w:t>Non-Housing Community Development</w:t>
            </w:r>
            <w:r>
              <w:rPr>
                <w:color w:val="000000"/>
              </w:rPr>
              <w:br/>
              <w:t>economic development and jobs</w:t>
            </w:r>
          </w:p>
        </w:tc>
        <w:tc>
          <w:tcPr>
            <w:tcW w:w="0" w:type="auto"/>
          </w:tcPr>
          <w:p w14:paraId="1EF0D6B4" w14:textId="77777777" w:rsidR="000B4D04" w:rsidRDefault="00B90386">
            <w:pPr>
              <w:spacing w:beforeAutospacing="1" w:afterAutospacing="1"/>
            </w:pPr>
            <w:r>
              <w:rPr>
                <w:color w:val="000000"/>
              </w:rPr>
              <w:t>CDBG TARGET AREA</w:t>
            </w:r>
            <w:r>
              <w:rPr>
                <w:color w:val="000000"/>
              </w:rPr>
              <w:br/>
              <w:t>Lower Acre NRSA</w:t>
            </w:r>
            <w:r>
              <w:rPr>
                <w:color w:val="000000"/>
              </w:rPr>
              <w:br/>
              <w:t>Mount Washington NRSA</w:t>
            </w:r>
          </w:p>
        </w:tc>
        <w:tc>
          <w:tcPr>
            <w:tcW w:w="0" w:type="auto"/>
          </w:tcPr>
          <w:p w14:paraId="18697895" w14:textId="77777777" w:rsidR="000B4D04" w:rsidRDefault="00B90386">
            <w:pPr>
              <w:spacing w:beforeAutospacing="1" w:afterAutospacing="1"/>
            </w:pPr>
            <w:r>
              <w:rPr>
                <w:color w:val="000000"/>
              </w:rPr>
              <w:t>Connection to Resources and Economic Opportunities</w:t>
            </w:r>
            <w:r>
              <w:rPr>
                <w:color w:val="000000"/>
              </w:rPr>
              <w:br/>
              <w:t>Promote Neighborhood Stabilization</w:t>
            </w:r>
          </w:p>
        </w:tc>
        <w:tc>
          <w:tcPr>
            <w:tcW w:w="0" w:type="auto"/>
          </w:tcPr>
          <w:p w14:paraId="2143A0A8" w14:textId="77777777" w:rsidR="000B4D04" w:rsidRDefault="00B90386">
            <w:pPr>
              <w:spacing w:beforeAutospacing="1" w:afterAutospacing="1"/>
              <w:jc w:val="right"/>
            </w:pPr>
            <w:r>
              <w:rPr>
                <w:color w:val="000000"/>
              </w:rPr>
              <w:t>CDBG: $190,988.75</w:t>
            </w:r>
          </w:p>
        </w:tc>
        <w:tc>
          <w:tcPr>
            <w:tcW w:w="0" w:type="auto"/>
          </w:tcPr>
          <w:p w14:paraId="3A770D2C" w14:textId="77777777" w:rsidR="000B4D04" w:rsidRDefault="00B90386">
            <w:pPr>
              <w:spacing w:beforeAutospacing="1" w:afterAutospacing="1"/>
            </w:pPr>
            <w:r>
              <w:rPr>
                <w:color w:val="000000"/>
              </w:rPr>
              <w:t>Facade treatment/business building rehabilitation: 2 Business</w:t>
            </w:r>
            <w:r>
              <w:rPr>
                <w:color w:val="000000"/>
              </w:rPr>
              <w:br/>
              <w:t>Jobs created/retained: 47 Jobs</w:t>
            </w:r>
            <w:r>
              <w:rPr>
                <w:color w:val="000000"/>
              </w:rPr>
              <w:br/>
              <w:t>Businesses assisted: 54 Businesses Assisted</w:t>
            </w:r>
          </w:p>
        </w:tc>
      </w:tr>
      <w:tr w:rsidR="000B4D04" w14:paraId="4C585AC2" w14:textId="77777777">
        <w:trPr>
          <w:cantSplit/>
        </w:trPr>
        <w:tc>
          <w:tcPr>
            <w:tcW w:w="0" w:type="auto"/>
          </w:tcPr>
          <w:p w14:paraId="501DD477" w14:textId="77777777" w:rsidR="000B4D04" w:rsidRDefault="00B90386">
            <w:pPr>
              <w:spacing w:beforeAutospacing="1" w:afterAutospacing="1"/>
            </w:pPr>
            <w:r>
              <w:rPr>
                <w:b/>
                <w:color w:val="000000"/>
              </w:rPr>
              <w:t>5</w:t>
            </w:r>
          </w:p>
        </w:tc>
        <w:tc>
          <w:tcPr>
            <w:tcW w:w="0" w:type="auto"/>
          </w:tcPr>
          <w:p w14:paraId="236CC069" w14:textId="77777777" w:rsidR="000B4D04" w:rsidRDefault="00B90386">
            <w:pPr>
              <w:spacing w:beforeAutospacing="1" w:afterAutospacing="1"/>
            </w:pPr>
            <w:r>
              <w:rPr>
                <w:color w:val="000000"/>
              </w:rPr>
              <w:t>Stabilize Neighborhoods + Increase Owner-Occupancy</w:t>
            </w:r>
          </w:p>
        </w:tc>
        <w:tc>
          <w:tcPr>
            <w:tcW w:w="0" w:type="auto"/>
          </w:tcPr>
          <w:p w14:paraId="1E1E3431" w14:textId="77777777" w:rsidR="000B4D04" w:rsidRDefault="00B90386">
            <w:pPr>
              <w:spacing w:beforeAutospacing="1" w:afterAutospacing="1"/>
              <w:jc w:val="right"/>
            </w:pPr>
            <w:r>
              <w:rPr>
                <w:color w:val="000000"/>
              </w:rPr>
              <w:t>2025</w:t>
            </w:r>
          </w:p>
        </w:tc>
        <w:tc>
          <w:tcPr>
            <w:tcW w:w="0" w:type="auto"/>
          </w:tcPr>
          <w:p w14:paraId="07C5108C" w14:textId="77777777" w:rsidR="000B4D04" w:rsidRDefault="00B90386">
            <w:pPr>
              <w:spacing w:beforeAutospacing="1" w:afterAutospacing="1"/>
              <w:jc w:val="right"/>
            </w:pPr>
            <w:r>
              <w:rPr>
                <w:color w:val="000000"/>
              </w:rPr>
              <w:t>2029</w:t>
            </w:r>
          </w:p>
        </w:tc>
        <w:tc>
          <w:tcPr>
            <w:tcW w:w="0" w:type="auto"/>
          </w:tcPr>
          <w:p w14:paraId="2E188F0C" w14:textId="77777777" w:rsidR="000B4D04" w:rsidRDefault="00B90386">
            <w:pPr>
              <w:spacing w:beforeAutospacing="1" w:afterAutospacing="1"/>
            </w:pPr>
            <w:r>
              <w:rPr>
                <w:color w:val="000000"/>
              </w:rPr>
              <w:t>Affordable Housing</w:t>
            </w:r>
            <w:r>
              <w:rPr>
                <w:color w:val="000000"/>
              </w:rPr>
              <w:br/>
              <w:t>Non-Homeless Special Needs</w:t>
            </w:r>
            <w:r>
              <w:rPr>
                <w:color w:val="000000"/>
              </w:rPr>
              <w:br/>
              <w:t>Non-Housing Community Development</w:t>
            </w:r>
          </w:p>
        </w:tc>
        <w:tc>
          <w:tcPr>
            <w:tcW w:w="0" w:type="auto"/>
          </w:tcPr>
          <w:p w14:paraId="7F347E12" w14:textId="77777777" w:rsidR="000B4D04" w:rsidRDefault="00B90386">
            <w:pPr>
              <w:spacing w:beforeAutospacing="1" w:afterAutospacing="1"/>
            </w:pPr>
            <w:r>
              <w:rPr>
                <w:color w:val="000000"/>
              </w:rPr>
              <w:t>CDBG TARGET AREA</w:t>
            </w:r>
            <w:r>
              <w:rPr>
                <w:color w:val="000000"/>
              </w:rPr>
              <w:br/>
              <w:t>Lower Acre NRSA</w:t>
            </w:r>
            <w:r>
              <w:rPr>
                <w:color w:val="000000"/>
              </w:rPr>
              <w:br/>
              <w:t>Mount Washington NRSA</w:t>
            </w:r>
          </w:p>
        </w:tc>
        <w:tc>
          <w:tcPr>
            <w:tcW w:w="0" w:type="auto"/>
          </w:tcPr>
          <w:p w14:paraId="1BD57A05" w14:textId="77777777" w:rsidR="000B4D04" w:rsidRDefault="00B90386">
            <w:pPr>
              <w:spacing w:beforeAutospacing="1" w:afterAutospacing="1"/>
            </w:pPr>
            <w:r>
              <w:rPr>
                <w:color w:val="000000"/>
              </w:rPr>
              <w:t>Encourage Economic + Workforce Development</w:t>
            </w:r>
            <w:r>
              <w:rPr>
                <w:color w:val="000000"/>
              </w:rPr>
              <w:br/>
              <w:t>Enhance Public Safety and Health</w:t>
            </w:r>
            <w:r>
              <w:rPr>
                <w:color w:val="000000"/>
              </w:rPr>
              <w:br/>
              <w:t>Increase Owner-Occupancy in Target Neighborhoods</w:t>
            </w:r>
            <w:r>
              <w:rPr>
                <w:color w:val="000000"/>
              </w:rPr>
              <w:br/>
              <w:t>Promote Neighborhood Stabilization</w:t>
            </w:r>
            <w:r>
              <w:rPr>
                <w:color w:val="000000"/>
              </w:rPr>
              <w:br/>
              <w:t>Provide for Non-Housing-related Basic Needs</w:t>
            </w:r>
          </w:p>
        </w:tc>
        <w:tc>
          <w:tcPr>
            <w:tcW w:w="0" w:type="auto"/>
          </w:tcPr>
          <w:p w14:paraId="67B6C07F" w14:textId="77777777" w:rsidR="000B4D04" w:rsidRDefault="00B90386">
            <w:pPr>
              <w:spacing w:beforeAutospacing="1" w:afterAutospacing="1"/>
              <w:jc w:val="right"/>
            </w:pPr>
            <w:r>
              <w:rPr>
                <w:color w:val="000000"/>
              </w:rPr>
              <w:t>CDBG: $404,063.75</w:t>
            </w:r>
          </w:p>
        </w:tc>
        <w:tc>
          <w:tcPr>
            <w:tcW w:w="0" w:type="auto"/>
          </w:tcPr>
          <w:p w14:paraId="6903A831" w14:textId="77777777" w:rsidR="000B4D04" w:rsidRDefault="00B90386">
            <w:pPr>
              <w:spacing w:beforeAutospacing="1" w:afterAutospacing="1"/>
            </w:pPr>
            <w:r>
              <w:rPr>
                <w:color w:val="000000"/>
              </w:rPr>
              <w:t>Public Facility or Infrastructure Activities other than Low/Moderate Income Housing Benefit: 50000 Persons Assisted</w:t>
            </w:r>
            <w:r>
              <w:rPr>
                <w:color w:val="000000"/>
              </w:rPr>
              <w:br/>
              <w:t>Public service activities other than Low/Moderate Income Housing Benefit: 421 Persons Assisted</w:t>
            </w:r>
            <w:r>
              <w:rPr>
                <w:color w:val="000000"/>
              </w:rPr>
              <w:br/>
              <w:t>Facade treatment/business building rehabilitation: 1 Business</w:t>
            </w:r>
            <w:r>
              <w:rPr>
                <w:color w:val="000000"/>
              </w:rPr>
              <w:br/>
              <w:t>Direct Financial Assistance to Homebuyers: 4 Households Assisted</w:t>
            </w:r>
            <w:r>
              <w:rPr>
                <w:color w:val="000000"/>
              </w:rPr>
              <w:br/>
              <w:t>Buildings Demolished: 1 Buildings</w:t>
            </w:r>
            <w:r>
              <w:rPr>
                <w:color w:val="000000"/>
              </w:rPr>
              <w:br/>
              <w:t>Housing Code Enforcement/Foreclosed Property Care: 2025 Household Housing Unit</w:t>
            </w:r>
            <w:r>
              <w:rPr>
                <w:color w:val="000000"/>
              </w:rPr>
              <w:br/>
              <w:t>Other: 1 Other</w:t>
            </w:r>
          </w:p>
        </w:tc>
      </w:tr>
    </w:tbl>
    <w:p w14:paraId="749EA116" w14:textId="77777777" w:rsidR="000B4D04" w:rsidRDefault="00B903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14:paraId="0496B651" w14:textId="77777777" w:rsidR="000B4D04" w:rsidRDefault="000B4D04"/>
    <w:p w14:paraId="24DCF581" w14:textId="77777777" w:rsidR="000B4D04" w:rsidRDefault="00B90386">
      <w:pPr>
        <w:rPr>
          <w:b/>
          <w:sz w:val="24"/>
          <w:szCs w:val="24"/>
        </w:rPr>
      </w:pPr>
      <w:r>
        <w:rPr>
          <w:b/>
          <w:sz w:val="24"/>
          <w:szCs w:val="24"/>
        </w:rPr>
        <w:lastRenderedPageBreak/>
        <w:t>Goal Descriptions</w:t>
      </w:r>
    </w:p>
    <w:p w14:paraId="4BC3128E" w14:textId="77777777" w:rsidR="000B4D04" w:rsidRDefault="000B4D04">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514"/>
        <w:gridCol w:w="11108"/>
      </w:tblGrid>
      <w:tr w:rsidR="000B4D04" w14:paraId="20F86A30" w14:textId="77777777">
        <w:trPr>
          <w:cantSplit/>
        </w:trPr>
        <w:tc>
          <w:tcPr>
            <w:tcW w:w="0" w:type="auto"/>
            <w:vMerge w:val="restart"/>
          </w:tcPr>
          <w:p w14:paraId="15ABB060" w14:textId="77777777" w:rsidR="000B4D04" w:rsidRDefault="00B90386">
            <w:pPr>
              <w:keepNext/>
              <w:spacing w:before="100" w:after="0"/>
            </w:pPr>
            <w:r>
              <w:rPr>
                <w:b/>
                <w:color w:val="000000"/>
              </w:rPr>
              <w:t>1</w:t>
            </w:r>
          </w:p>
        </w:tc>
        <w:tc>
          <w:tcPr>
            <w:tcW w:w="0" w:type="auto"/>
          </w:tcPr>
          <w:p w14:paraId="7699FDBB" w14:textId="77777777" w:rsidR="000B4D04" w:rsidRDefault="00B90386">
            <w:pPr>
              <w:keepNext/>
              <w:spacing w:before="100" w:after="0"/>
              <w:rPr>
                <w:b/>
                <w:sz w:val="24"/>
                <w:szCs w:val="24"/>
              </w:rPr>
            </w:pPr>
            <w:r>
              <w:rPr>
                <w:b/>
                <w:sz w:val="24"/>
                <w:szCs w:val="24"/>
              </w:rPr>
              <w:t>Goal Name</w:t>
            </w:r>
          </w:p>
        </w:tc>
        <w:tc>
          <w:tcPr>
            <w:tcW w:w="0" w:type="auto"/>
          </w:tcPr>
          <w:p w14:paraId="0CA7EB3E" w14:textId="77777777" w:rsidR="000B4D04" w:rsidRDefault="00B90386">
            <w:pPr>
              <w:spacing w:before="100" w:after="0"/>
            </w:pPr>
            <w:r>
              <w:rPr>
                <w:color w:val="000000"/>
              </w:rPr>
              <w:t>Maintain Housing Stock</w:t>
            </w:r>
          </w:p>
        </w:tc>
      </w:tr>
      <w:tr w:rsidR="000B4D04" w14:paraId="15F980C0" w14:textId="77777777">
        <w:trPr>
          <w:cantSplit/>
        </w:trPr>
        <w:tc>
          <w:tcPr>
            <w:tcW w:w="0" w:type="auto"/>
            <w:vMerge/>
          </w:tcPr>
          <w:p w14:paraId="750E83E8" w14:textId="77777777" w:rsidR="000B4D04" w:rsidRDefault="000B4D04"/>
        </w:tc>
        <w:tc>
          <w:tcPr>
            <w:tcW w:w="0" w:type="auto"/>
          </w:tcPr>
          <w:p w14:paraId="48E75EA1" w14:textId="77777777" w:rsidR="000B4D04" w:rsidRDefault="00B90386">
            <w:pPr>
              <w:keepNext/>
              <w:spacing w:before="100" w:after="0"/>
              <w:rPr>
                <w:b/>
                <w:sz w:val="24"/>
                <w:szCs w:val="24"/>
              </w:rPr>
            </w:pPr>
            <w:r>
              <w:rPr>
                <w:b/>
                <w:sz w:val="24"/>
                <w:szCs w:val="24"/>
              </w:rPr>
              <w:t>Goal Description</w:t>
            </w:r>
          </w:p>
        </w:tc>
        <w:tc>
          <w:tcPr>
            <w:tcW w:w="0" w:type="auto"/>
          </w:tcPr>
          <w:p w14:paraId="6F26305C" w14:textId="77777777" w:rsidR="000B4D04" w:rsidRDefault="00B90386">
            <w:pPr>
              <w:spacing w:before="100" w:after="0"/>
            </w:pPr>
            <w:r>
              <w:rPr>
                <w:color w:val="000000"/>
              </w:rPr>
              <w:t>This goal will be primarily accomplished through the City's in-house Housing Rehabilitation and Code Correction Program (HRCCP).  Operated by Community Development Department staff, utilizing bidded private contractors, the HRCCP will rehabilitate about 30 housing units, some in multi-family dwellings (around 6) with approximately 8 rental units and the remainder in single-family homes (around 16).  Rebuilding Together Greater Haverhill will add another 6 units through its coordinated volunteer program, whi</w:t>
            </w:r>
            <w:r>
              <w:rPr>
                <w:color w:val="000000"/>
              </w:rPr>
              <w:t>ch usually occurs every April to assist senior homeowners and those with disabilities who cannot maintain their homes.</w:t>
            </w:r>
          </w:p>
          <w:p w14:paraId="271A2C83" w14:textId="77777777" w:rsidR="000B4D04" w:rsidRDefault="00B90386">
            <w:pPr>
              <w:spacing w:before="100" w:after="0"/>
            </w:pPr>
            <w:r>
              <w:rPr>
                <w:color w:val="000000"/>
              </w:rPr>
              <w:t>Given inflationary pressures on materials and labor, the cost per unit metric is increasing when it comes to housing rehabilitation, requiring a loosening of 'per project' caps and estimates. It is frankly more expensive than ever to undertake housing rehabilitation activities, given the bidding climate.</w:t>
            </w:r>
          </w:p>
          <w:p w14:paraId="322A776E" w14:textId="1EDD2F64" w:rsidR="000B4D04" w:rsidRDefault="00B90386">
            <w:pPr>
              <w:spacing w:before="100" w:after="0"/>
            </w:pPr>
            <w:r>
              <w:rPr>
                <w:color w:val="000000"/>
              </w:rPr>
              <w:t xml:space="preserve">The Haverhill Water </w:t>
            </w:r>
            <w:r w:rsidR="00177E91">
              <w:rPr>
                <w:color w:val="000000"/>
              </w:rPr>
              <w:t>Department</w:t>
            </w:r>
            <w:r>
              <w:rPr>
                <w:color w:val="000000"/>
              </w:rPr>
              <w:t xml:space="preserve"> is making coordinated and targeted outreach to homeowners in late 2025 with identified lead internal water pipes or galvanized water lines with lead joints or sealants.  It is anticipated that the City will receive inquiries from low-moderate income homeowners who need assistance to achieve mandated compliance on lead water pipe removal and replacement, which could boost the quantities of units served this upcoming Program Year (approximately 6).</w:t>
            </w:r>
          </w:p>
          <w:p w14:paraId="223488A3" w14:textId="77777777" w:rsidR="000B4D04" w:rsidRDefault="00B90386">
            <w:pPr>
              <w:spacing w:before="100" w:after="0"/>
            </w:pPr>
            <w:r>
              <w:rPr>
                <w:color w:val="000000"/>
              </w:rPr>
              <w:t>$410,000 in Program Year 2025 (PY25) funds are budgeted towards this goal.  In addition, approximately $75,000 in PY25 Program Income is to be allocated to this Goal, along with $266,666 in unspent Prior Year Housing Rehab funds.  This large amount of prior year unspent funds is largely due to the extraordinary amount of Program Income (over $400,000) received back in Program Year 2024, which was spent in lieu of old Program Year 2023 and/or PY24 housing rehab funds.</w:t>
            </w:r>
          </w:p>
          <w:p w14:paraId="546A883D" w14:textId="77777777" w:rsidR="000B4D04" w:rsidRDefault="000B4D04">
            <w:pPr>
              <w:spacing w:before="100" w:after="0"/>
            </w:pPr>
          </w:p>
        </w:tc>
      </w:tr>
      <w:tr w:rsidR="000B4D04" w14:paraId="6746EB6D" w14:textId="77777777">
        <w:trPr>
          <w:cantSplit/>
        </w:trPr>
        <w:tc>
          <w:tcPr>
            <w:tcW w:w="0" w:type="auto"/>
            <w:vMerge w:val="restart"/>
          </w:tcPr>
          <w:p w14:paraId="1FCD1181" w14:textId="77777777" w:rsidR="000B4D04" w:rsidRDefault="00B90386">
            <w:pPr>
              <w:keepNext/>
              <w:spacing w:before="100" w:after="0"/>
            </w:pPr>
            <w:r>
              <w:rPr>
                <w:b/>
                <w:color w:val="000000"/>
              </w:rPr>
              <w:lastRenderedPageBreak/>
              <w:t>2</w:t>
            </w:r>
          </w:p>
        </w:tc>
        <w:tc>
          <w:tcPr>
            <w:tcW w:w="0" w:type="auto"/>
          </w:tcPr>
          <w:p w14:paraId="19254DD8" w14:textId="77777777" w:rsidR="000B4D04" w:rsidRDefault="00B90386">
            <w:pPr>
              <w:keepNext/>
              <w:spacing w:before="100" w:after="0"/>
              <w:rPr>
                <w:b/>
                <w:sz w:val="24"/>
                <w:szCs w:val="24"/>
              </w:rPr>
            </w:pPr>
            <w:r>
              <w:rPr>
                <w:b/>
                <w:sz w:val="24"/>
                <w:szCs w:val="24"/>
              </w:rPr>
              <w:t>Goal Name</w:t>
            </w:r>
          </w:p>
        </w:tc>
        <w:tc>
          <w:tcPr>
            <w:tcW w:w="0" w:type="auto"/>
          </w:tcPr>
          <w:p w14:paraId="472811FD" w14:textId="77777777" w:rsidR="000B4D04" w:rsidRDefault="00B90386">
            <w:pPr>
              <w:spacing w:before="100" w:after="0"/>
            </w:pPr>
            <w:r>
              <w:rPr>
                <w:color w:val="000000"/>
              </w:rPr>
              <w:t>Provide Shelter and Services for Homeless</w:t>
            </w:r>
          </w:p>
        </w:tc>
      </w:tr>
      <w:tr w:rsidR="000B4D04" w14:paraId="659D7185" w14:textId="77777777">
        <w:trPr>
          <w:cantSplit/>
        </w:trPr>
        <w:tc>
          <w:tcPr>
            <w:tcW w:w="0" w:type="auto"/>
            <w:vMerge/>
          </w:tcPr>
          <w:p w14:paraId="26C2B09B" w14:textId="77777777" w:rsidR="000B4D04" w:rsidRDefault="000B4D04"/>
        </w:tc>
        <w:tc>
          <w:tcPr>
            <w:tcW w:w="0" w:type="auto"/>
          </w:tcPr>
          <w:p w14:paraId="15FDF564" w14:textId="77777777" w:rsidR="000B4D04" w:rsidRDefault="00B90386">
            <w:pPr>
              <w:keepNext/>
              <w:spacing w:before="100" w:after="0"/>
              <w:rPr>
                <w:b/>
                <w:sz w:val="24"/>
                <w:szCs w:val="24"/>
              </w:rPr>
            </w:pPr>
            <w:r>
              <w:rPr>
                <w:b/>
                <w:sz w:val="24"/>
                <w:szCs w:val="24"/>
              </w:rPr>
              <w:t>Goal Description</w:t>
            </w:r>
          </w:p>
        </w:tc>
        <w:tc>
          <w:tcPr>
            <w:tcW w:w="0" w:type="auto"/>
          </w:tcPr>
          <w:p w14:paraId="4ABBB0F4" w14:textId="77777777" w:rsidR="000B4D04" w:rsidRDefault="00B90386">
            <w:pPr>
              <w:spacing w:before="100" w:after="0"/>
            </w:pPr>
            <w:r>
              <w:rPr>
                <w:color w:val="000000"/>
              </w:rPr>
              <w:t>Through the support of various programs, including Emmaus' Mitch's Place emergency overnight shelter, Community Action's Homeless Drop-In Center, and Common Ground Ministries' Common Ground Cafe, this Goal supports a continuum of services for the city's homeless and indigent.</w:t>
            </w:r>
          </w:p>
          <w:p w14:paraId="1D806040" w14:textId="266FC98D" w:rsidR="000B4D04" w:rsidRDefault="00B90386">
            <w:pPr>
              <w:spacing w:before="100" w:after="0"/>
            </w:pPr>
            <w:r>
              <w:rPr>
                <w:color w:val="000000"/>
              </w:rPr>
              <w:t>In Program Year 2025, CDBG-funded Activit</w:t>
            </w:r>
            <w:r w:rsidR="00177E91">
              <w:rPr>
                <w:color w:val="000000"/>
              </w:rPr>
              <w:t>i</w:t>
            </w:r>
            <w:r>
              <w:rPr>
                <w:color w:val="000000"/>
              </w:rPr>
              <w:t>es will include a 24-hour continuum of care locally:</w:t>
            </w:r>
          </w:p>
          <w:p w14:paraId="60F94865" w14:textId="77777777" w:rsidR="000B4D04" w:rsidRDefault="00B90386">
            <w:pPr>
              <w:spacing w:before="100" w:after="0"/>
            </w:pPr>
            <w:r>
              <w:rPr>
                <w:color w:val="000000"/>
              </w:rPr>
              <w:t>-Emmaus' Mitch's Place Emergency Overnight Shelter (the main overnight shelter in the city, located in the Lower Acre), serving a goal of 138 unduplicated individuals with $12,225 in CDBG funding.</w:t>
            </w:r>
          </w:p>
          <w:p w14:paraId="565B4007" w14:textId="77777777" w:rsidR="000B4D04" w:rsidRDefault="00B90386">
            <w:pPr>
              <w:spacing w:before="100" w:after="0"/>
            </w:pPr>
            <w:r>
              <w:rPr>
                <w:color w:val="000000"/>
              </w:rPr>
              <w:t>-Community Action's Homeless Drop-In Center, operating five mornings a week in the basement of the Universalist Unitarian Church in the Highlands and Lower Acre areas, serving a goal of 85 indigent individuals with $13,225 in CDBG funding.</w:t>
            </w:r>
          </w:p>
          <w:p w14:paraId="05B4379F" w14:textId="77777777" w:rsidR="000B4D04" w:rsidRDefault="00B90386">
            <w:pPr>
              <w:spacing w:before="100" w:after="0"/>
            </w:pPr>
            <w:r>
              <w:rPr>
                <w:color w:val="000000"/>
              </w:rPr>
              <w:t>-Common Ground Ministries afternoon programs at its Lower Acre location, including the Common Ground Cafe program, serving a goal of 95 homeless individuals with $10,000 in CDBG support.</w:t>
            </w:r>
          </w:p>
          <w:p w14:paraId="6DC67187" w14:textId="77777777" w:rsidR="000B4D04" w:rsidRDefault="00B90386">
            <w:pPr>
              <w:spacing w:before="100" w:after="0"/>
            </w:pPr>
            <w:r>
              <w:rPr>
                <w:color w:val="000000"/>
              </w:rPr>
              <w:t>All of these programs provide food and coffee, indoor shelter, companionship, case management, service referrals, check-ins and access to medical care.  Common Ground offers showers and laundry services, while the Drop-In Center offers financial guardianship and benefit support to many.  The services offered by these organizations, which take basically all comers off the streets, truly saves lives.</w:t>
            </w:r>
          </w:p>
          <w:p w14:paraId="70FE2CAB" w14:textId="28D9D0C7" w:rsidR="000B4D04" w:rsidRDefault="00B90386">
            <w:pPr>
              <w:spacing w:before="100" w:after="0"/>
            </w:pPr>
            <w:r>
              <w:rPr>
                <w:color w:val="000000"/>
              </w:rPr>
              <w:t xml:space="preserve">Community Development staff work closely with these and other agencies (including ARPA-funded Northeast Legal Aid) to assist the homeless and indigent </w:t>
            </w:r>
            <w:r w:rsidR="00177E91">
              <w:rPr>
                <w:color w:val="000000"/>
              </w:rPr>
              <w:t>every</w:t>
            </w:r>
            <w:r>
              <w:rPr>
                <w:color w:val="000000"/>
              </w:rPr>
              <w:t xml:space="preserve"> week, including participating in monthly 'Unsheltered' virtual calls to review policies and caseloads (hosted by Emmaus).</w:t>
            </w:r>
          </w:p>
          <w:p w14:paraId="62049A39" w14:textId="77777777" w:rsidR="000B4D04" w:rsidRDefault="00B90386">
            <w:pPr>
              <w:spacing w:before="100" w:after="0"/>
            </w:pPr>
            <w:r>
              <w:rPr>
                <w:color w:val="000000"/>
              </w:rPr>
              <w:t>NOTE:  CDBG Administrative Costs ($45,888.75) are factored into the budget for each Goal except Maintain Housing Stock (which uses its own Rehabilitation Administration funds).</w:t>
            </w:r>
          </w:p>
        </w:tc>
      </w:tr>
      <w:tr w:rsidR="000B4D04" w14:paraId="6D4927D5" w14:textId="77777777">
        <w:trPr>
          <w:cantSplit/>
        </w:trPr>
        <w:tc>
          <w:tcPr>
            <w:tcW w:w="0" w:type="auto"/>
            <w:vMerge w:val="restart"/>
          </w:tcPr>
          <w:p w14:paraId="6418DBF9" w14:textId="77777777" w:rsidR="000B4D04" w:rsidRDefault="00B90386">
            <w:pPr>
              <w:keepNext/>
              <w:spacing w:before="100" w:after="0"/>
            </w:pPr>
            <w:r>
              <w:rPr>
                <w:b/>
                <w:color w:val="000000"/>
              </w:rPr>
              <w:lastRenderedPageBreak/>
              <w:t>3</w:t>
            </w:r>
          </w:p>
        </w:tc>
        <w:tc>
          <w:tcPr>
            <w:tcW w:w="0" w:type="auto"/>
          </w:tcPr>
          <w:p w14:paraId="28BBC570" w14:textId="77777777" w:rsidR="000B4D04" w:rsidRDefault="00B90386">
            <w:pPr>
              <w:keepNext/>
              <w:spacing w:before="100" w:after="0"/>
              <w:rPr>
                <w:b/>
                <w:sz w:val="24"/>
                <w:szCs w:val="24"/>
              </w:rPr>
            </w:pPr>
            <w:r>
              <w:rPr>
                <w:b/>
                <w:sz w:val="24"/>
                <w:szCs w:val="24"/>
              </w:rPr>
              <w:t>Goal Name</w:t>
            </w:r>
          </w:p>
        </w:tc>
        <w:tc>
          <w:tcPr>
            <w:tcW w:w="0" w:type="auto"/>
          </w:tcPr>
          <w:p w14:paraId="46921555" w14:textId="77777777" w:rsidR="000B4D04" w:rsidRDefault="00B90386">
            <w:pPr>
              <w:spacing w:before="100" w:after="0"/>
            </w:pPr>
            <w:r>
              <w:rPr>
                <w:color w:val="000000"/>
              </w:rPr>
              <w:t>Provide other non-housing necessities</w:t>
            </w:r>
          </w:p>
        </w:tc>
      </w:tr>
      <w:tr w:rsidR="000B4D04" w14:paraId="6864539E" w14:textId="77777777">
        <w:trPr>
          <w:cantSplit/>
        </w:trPr>
        <w:tc>
          <w:tcPr>
            <w:tcW w:w="0" w:type="auto"/>
            <w:vMerge/>
          </w:tcPr>
          <w:p w14:paraId="2A89FAEF" w14:textId="77777777" w:rsidR="000B4D04" w:rsidRDefault="000B4D04"/>
        </w:tc>
        <w:tc>
          <w:tcPr>
            <w:tcW w:w="0" w:type="auto"/>
          </w:tcPr>
          <w:p w14:paraId="0A6C73AD" w14:textId="77777777" w:rsidR="000B4D04" w:rsidRDefault="00B90386">
            <w:pPr>
              <w:keepNext/>
              <w:spacing w:before="100" w:after="0"/>
              <w:rPr>
                <w:b/>
                <w:sz w:val="24"/>
                <w:szCs w:val="24"/>
              </w:rPr>
            </w:pPr>
            <w:r>
              <w:rPr>
                <w:b/>
                <w:sz w:val="24"/>
                <w:szCs w:val="24"/>
              </w:rPr>
              <w:t>Goal Description</w:t>
            </w:r>
          </w:p>
        </w:tc>
        <w:tc>
          <w:tcPr>
            <w:tcW w:w="0" w:type="auto"/>
          </w:tcPr>
          <w:p w14:paraId="7D9E66F2" w14:textId="77777777" w:rsidR="000B4D04" w:rsidRDefault="00B90386">
            <w:pPr>
              <w:spacing w:before="100" w:after="0"/>
            </w:pPr>
            <w:r>
              <w:rPr>
                <w:color w:val="000000"/>
              </w:rPr>
              <w:t xml:space="preserve">This Goal provides basic necessities being neglected by many due to the exorbitant costs of housing.  With half (51%) of Haverhill's renters officially cost burdened, social service providers are under extreme pressure in times of rising food and energy costs.  Many Haverhill residents may have a roof over their heads, but they have little to nothing at the end of every month.  An unexpected home or auto repair, a sick child or pet can mean going without necessities.  This goal supports a strong, motivated </w:t>
            </w:r>
            <w:r>
              <w:rPr>
                <w:color w:val="000000"/>
              </w:rPr>
              <w:t>and coordinated network developed amongst Haverhill social service providers that has been honed over many years, providing food, clothing, heating assistance, furniture and toiletries to those in need.  </w:t>
            </w:r>
          </w:p>
          <w:p w14:paraId="40E04D79" w14:textId="77777777" w:rsidR="000B4D04" w:rsidRDefault="00B90386">
            <w:pPr>
              <w:spacing w:before="100" w:after="0"/>
            </w:pPr>
            <w:r>
              <w:rPr>
                <w:color w:val="000000"/>
              </w:rPr>
              <w:t>$110,500 in PY25 Activities in support of this goal include (plus Admin of $45,888.75):</w:t>
            </w:r>
          </w:p>
          <w:p w14:paraId="7808E2A9" w14:textId="77777777" w:rsidR="000B4D04" w:rsidRDefault="00B90386">
            <w:pPr>
              <w:spacing w:before="100" w:after="0"/>
            </w:pPr>
            <w:r>
              <w:rPr>
                <w:color w:val="000000"/>
              </w:rPr>
              <w:t>-All Saints Parish Society of Saint Vincent dePaul- Mount Washington Family Assistance Program - supporting 20 neighborhood residents with utility and rent assistance with $10,000 in CDBG funds;</w:t>
            </w:r>
          </w:p>
          <w:p w14:paraId="07EC6715" w14:textId="77777777" w:rsidR="000B4D04" w:rsidRDefault="00B90386">
            <w:pPr>
              <w:spacing w:before="100" w:after="0"/>
            </w:pPr>
            <w:r>
              <w:rPr>
                <w:color w:val="000000"/>
              </w:rPr>
              <w:t>-Pregnancy Care Center- Mother/Child Food + Clothing program- supporting a goal of 4 low-income single and or/teen mothers with $2,500 in CDBG funds for food, clothing, diapers, infant clothing, furniture, baby formula and other items;</w:t>
            </w:r>
          </w:p>
          <w:p w14:paraId="133B4382" w14:textId="77777777" w:rsidR="000B4D04" w:rsidRDefault="00B90386">
            <w:pPr>
              <w:spacing w:before="100" w:after="0"/>
            </w:pPr>
            <w:r>
              <w:rPr>
                <w:color w:val="000000"/>
              </w:rPr>
              <w:t>-Sarah's Place- Keeping Elder Participants Active- providing daily transportation to meals, companionship and enrichment activities to a goal of 52 frail, homebound elders at their Downtown facility through $12,225 in CDBG funds;</w:t>
            </w:r>
          </w:p>
          <w:p w14:paraId="63999283" w14:textId="77777777" w:rsidR="000B4D04" w:rsidRDefault="00B90386">
            <w:pPr>
              <w:spacing w:before="100" w:after="0"/>
            </w:pPr>
            <w:r>
              <w:rPr>
                <w:color w:val="000000"/>
              </w:rPr>
              <w:t>-Bethany Community Services- Senior Meals Program- feeding at least 21 homebound senior residents in their units regularly with $5,000 in CDBG support;</w:t>
            </w:r>
          </w:p>
          <w:p w14:paraId="1596A5F3" w14:textId="77777777" w:rsidR="000B4D04" w:rsidRDefault="00B90386">
            <w:pPr>
              <w:spacing w:before="100" w:after="0"/>
            </w:pPr>
            <w:r>
              <w:rPr>
                <w:color w:val="000000"/>
              </w:rPr>
              <w:t>-Ruth's House- Clothing Program and Community Closet- providing free clothing and work apparel to 150 low-income residents with $8,000 in CDBG funds;</w:t>
            </w:r>
          </w:p>
          <w:p w14:paraId="4F692681" w14:textId="77777777" w:rsidR="000B4D04" w:rsidRDefault="00B90386">
            <w:pPr>
              <w:spacing w:before="100" w:after="0"/>
            </w:pPr>
            <w:r>
              <w:rPr>
                <w:color w:val="000000"/>
              </w:rPr>
              <w:t>-Somebody Cares New England Food Pantry- serving a goal of 600 unduplicated households in Mount Washington through its monthly food pantry with $6,000 in CDBG support;</w:t>
            </w:r>
          </w:p>
          <w:p w14:paraId="0FF70ACB" w14:textId="77777777" w:rsidR="000B4D04" w:rsidRDefault="00B90386">
            <w:pPr>
              <w:spacing w:before="100" w:after="0"/>
            </w:pPr>
            <w:r>
              <w:rPr>
                <w:color w:val="000000"/>
              </w:rPr>
              <w:t>-Salvation Army + Haverhill Public Schools- Backpack 68 Program- providing take home food for the 68-hour weekend for low-income public school students and their families, for the period when school meals are not offered, serving a goal of 200 students and their families with $3,000 in CDBG support;</w:t>
            </w:r>
          </w:p>
          <w:p w14:paraId="1365BEC1" w14:textId="77777777" w:rsidR="000B4D04" w:rsidRDefault="00B90386">
            <w:pPr>
              <w:spacing w:before="100" w:after="0"/>
            </w:pPr>
            <w:r>
              <w:rPr>
                <w:color w:val="000000"/>
              </w:rPr>
              <w:t>-Salvation Army- Comprehensive Emergency Support- a massive daily meals and service referral program that feeds a goal of 1,110 mostly walk-in Acre residents via $10,000 in CDBG funds;</w:t>
            </w:r>
          </w:p>
          <w:p w14:paraId="41539DA6" w14:textId="77777777" w:rsidR="000B4D04" w:rsidRDefault="00B90386">
            <w:pPr>
              <w:spacing w:before="100" w:after="0"/>
            </w:pPr>
            <w:r>
              <w:rPr>
                <w:color w:val="000000"/>
              </w:rPr>
              <w:t>- Saint Gabriel Parish- Liz Murphy Open Hand Pantry- offering a weekly 'shop-for-yourself' model in the basement of the Universalist Unitarian Church that will support a goal of 400 needy individuals with $10,000 in CDBG money;</w:t>
            </w:r>
          </w:p>
          <w:p w14:paraId="3FD3B13C" w14:textId="77777777" w:rsidR="000B4D04" w:rsidRDefault="00B90386">
            <w:pPr>
              <w:spacing w:before="100" w:after="0"/>
            </w:pPr>
            <w:r>
              <w:rPr>
                <w:color w:val="000000"/>
              </w:rPr>
              <w:lastRenderedPageBreak/>
              <w:t>-Consentino Middle School- Family Pantry Program- providing food for Mount Washington area students and their families who need nutritional support; in PY2025, this new program will serve a goal of 18 families with $5,000 in CDBG funds;</w:t>
            </w:r>
          </w:p>
          <w:p w14:paraId="37433306" w14:textId="77777777" w:rsidR="000B4D04" w:rsidRDefault="00B90386">
            <w:pPr>
              <w:spacing w:before="100" w:after="0"/>
            </w:pPr>
            <w:r>
              <w:rPr>
                <w:color w:val="000000"/>
              </w:rPr>
              <w:t>-Saint James Conference of Saint Vincent dePaul- Direct Help to People in Need- assisting a goal of 10 households through this volunteer-led program with rent and utility assistance, as well as diapers, to prevent evictions and shut-offs in the Acre neighborhood;  </w:t>
            </w:r>
          </w:p>
          <w:p w14:paraId="28093A0F" w14:textId="77777777" w:rsidR="000B4D04" w:rsidRDefault="00B90386">
            <w:pPr>
              <w:spacing w:before="100" w:after="0"/>
            </w:pPr>
            <w:r>
              <w:rPr>
                <w:color w:val="000000"/>
              </w:rPr>
              <w:t>-Community Action's Heating Assistance- aiding those households who are just over LIHEAP federal program limits for fuel assistance, serving a goal of 32 families with $11,500 from CDBG;</w:t>
            </w:r>
          </w:p>
          <w:p w14:paraId="050512DE" w14:textId="77777777" w:rsidR="000B4D04" w:rsidRDefault="00B90386">
            <w:pPr>
              <w:spacing w:before="100" w:after="0"/>
            </w:pPr>
            <w:r>
              <w:rPr>
                <w:color w:val="000000"/>
              </w:rPr>
              <w:t>-Haverhill Public Schools Gateway Academy- Farm Stand Food Pantry- providing healthy food assistance to 50 students' families with some products grown at the school's greenhouse and freight farm, via $5,000 in CDBG support;</w:t>
            </w:r>
          </w:p>
          <w:p w14:paraId="2EB171B7" w14:textId="77777777" w:rsidR="000B4D04" w:rsidRDefault="00B90386">
            <w:pPr>
              <w:spacing w:before="100" w:after="0"/>
            </w:pPr>
            <w:r>
              <w:rPr>
                <w:color w:val="000000"/>
              </w:rPr>
              <w:t>-Surrender Room/Ray of Light- Pathways to Sobriety + Recovery- supporting needs of 40 recovering substance abuse addicts with meals, programming, socialization, medical care and service referrals with $2,000 from CDBG.</w:t>
            </w:r>
          </w:p>
        </w:tc>
      </w:tr>
      <w:tr w:rsidR="000B4D04" w14:paraId="15888FFE" w14:textId="77777777">
        <w:trPr>
          <w:cantSplit/>
        </w:trPr>
        <w:tc>
          <w:tcPr>
            <w:tcW w:w="0" w:type="auto"/>
            <w:vMerge w:val="restart"/>
          </w:tcPr>
          <w:p w14:paraId="6BE8C1F1" w14:textId="77777777" w:rsidR="000B4D04" w:rsidRDefault="00B90386">
            <w:pPr>
              <w:keepNext/>
              <w:spacing w:before="100" w:after="0"/>
            </w:pPr>
            <w:r>
              <w:rPr>
                <w:b/>
                <w:color w:val="000000"/>
              </w:rPr>
              <w:lastRenderedPageBreak/>
              <w:t>4</w:t>
            </w:r>
          </w:p>
        </w:tc>
        <w:tc>
          <w:tcPr>
            <w:tcW w:w="0" w:type="auto"/>
          </w:tcPr>
          <w:p w14:paraId="5B6529D1" w14:textId="77777777" w:rsidR="000B4D04" w:rsidRDefault="00B90386">
            <w:pPr>
              <w:keepNext/>
              <w:spacing w:before="100" w:after="0"/>
              <w:rPr>
                <w:b/>
                <w:sz w:val="24"/>
                <w:szCs w:val="24"/>
              </w:rPr>
            </w:pPr>
            <w:r>
              <w:rPr>
                <w:b/>
                <w:sz w:val="24"/>
                <w:szCs w:val="24"/>
              </w:rPr>
              <w:t>Goal Name</w:t>
            </w:r>
          </w:p>
        </w:tc>
        <w:tc>
          <w:tcPr>
            <w:tcW w:w="0" w:type="auto"/>
          </w:tcPr>
          <w:p w14:paraId="53022D16" w14:textId="77777777" w:rsidR="000B4D04" w:rsidRDefault="00B90386">
            <w:pPr>
              <w:spacing w:before="100" w:after="0"/>
            </w:pPr>
            <w:r>
              <w:rPr>
                <w:color w:val="000000"/>
              </w:rPr>
              <w:t>Promote Neighborhood-Based Economic Development</w:t>
            </w:r>
          </w:p>
        </w:tc>
      </w:tr>
      <w:tr w:rsidR="000B4D04" w14:paraId="40ADF549" w14:textId="77777777">
        <w:trPr>
          <w:cantSplit/>
        </w:trPr>
        <w:tc>
          <w:tcPr>
            <w:tcW w:w="0" w:type="auto"/>
            <w:vMerge/>
          </w:tcPr>
          <w:p w14:paraId="3308C570" w14:textId="77777777" w:rsidR="000B4D04" w:rsidRDefault="000B4D04"/>
        </w:tc>
        <w:tc>
          <w:tcPr>
            <w:tcW w:w="0" w:type="auto"/>
          </w:tcPr>
          <w:p w14:paraId="728B1C12" w14:textId="77777777" w:rsidR="000B4D04" w:rsidRDefault="00B90386">
            <w:pPr>
              <w:keepNext/>
              <w:spacing w:before="100" w:after="0"/>
              <w:rPr>
                <w:b/>
                <w:sz w:val="24"/>
                <w:szCs w:val="24"/>
              </w:rPr>
            </w:pPr>
            <w:r>
              <w:rPr>
                <w:b/>
                <w:sz w:val="24"/>
                <w:szCs w:val="24"/>
              </w:rPr>
              <w:t>Goal Description</w:t>
            </w:r>
          </w:p>
        </w:tc>
        <w:tc>
          <w:tcPr>
            <w:tcW w:w="0" w:type="auto"/>
          </w:tcPr>
          <w:p w14:paraId="5DC0DC31" w14:textId="77777777" w:rsidR="000B4D04" w:rsidRDefault="00B90386">
            <w:pPr>
              <w:spacing w:before="100" w:after="0"/>
            </w:pPr>
            <w:r>
              <w:rPr>
                <w:color w:val="000000"/>
              </w:rPr>
              <w:t>This goal seeks to promote Neighborhood-Based Economic Development, including workforce development and business assistance initiatives in the Target Area.</w:t>
            </w:r>
          </w:p>
          <w:p w14:paraId="4ACC352B" w14:textId="77777777" w:rsidR="000B4D04" w:rsidRDefault="00B90386">
            <w:pPr>
              <w:spacing w:before="100" w:after="0"/>
            </w:pPr>
            <w:r>
              <w:rPr>
                <w:color w:val="000000"/>
              </w:rPr>
              <w:t>Activities in support of this Goal include:</w:t>
            </w:r>
          </w:p>
          <w:p w14:paraId="172085A5" w14:textId="77777777" w:rsidR="000B4D04" w:rsidRDefault="00B90386">
            <w:pPr>
              <w:spacing w:before="100" w:after="0"/>
            </w:pPr>
            <w:r>
              <w:rPr>
                <w:color w:val="000000"/>
              </w:rPr>
              <w:t>-Small business commercial facade improvement loans in the Target Area, with $25,000 in Program Year 2025 funds allocated, along with $25,000 in prior year unused funds for this same activity, for a total of $50,000.</w:t>
            </w:r>
          </w:p>
          <w:p w14:paraId="55B3C84F" w14:textId="472B2BDF" w:rsidR="000B4D04" w:rsidRDefault="00B90386">
            <w:pPr>
              <w:spacing w:before="100" w:after="0"/>
            </w:pPr>
            <w:r>
              <w:rPr>
                <w:color w:val="000000"/>
              </w:rPr>
              <w:t>-Support of MakeIT Haverhill, a neighborhood-based job training center that is moving from Mount Washington to the Downtown/Lower Acre area.  MakeIT Haverhill offers English, Financial and Digital literacy classes, naturalization classe</w:t>
            </w:r>
            <w:r>
              <w:rPr>
                <w:color w:val="000000"/>
              </w:rPr>
              <w:t>s, case management and job fairs in a trusted space, with a goal of increasing household incomes for Mount Washington and other working-class residents.  MakeIT Haverhill will benefit from $25,000 in programmatic and/or capital funds from PY25 CDBG funds, along with $27,500 in unused Prior Year funds; </w:t>
            </w:r>
          </w:p>
          <w:p w14:paraId="6D184F78" w14:textId="2FDA1B4C" w:rsidR="000B4D04" w:rsidRDefault="00B90386">
            <w:pPr>
              <w:spacing w:before="100" w:after="0"/>
            </w:pPr>
            <w:r>
              <w:rPr>
                <w:color w:val="000000"/>
              </w:rPr>
              <w:t>-Latino Business Outreach provided via bilingual, bicultural ambassadors to the growing sector of bodegas, shops, salons, ristorantes and enterprises that are not connected to City, Chamber and federal/state business supports.  While only $1,000 in PY25 CDBG funds are allocated for this Activity, $30,100 in unused prior year funds are slated to be used this upcoming year for this import</w:t>
            </w:r>
            <w:r>
              <w:rPr>
                <w:color w:val="000000"/>
              </w:rPr>
              <w:t>a</w:t>
            </w:r>
            <w:r w:rsidR="00177E91">
              <w:rPr>
                <w:color w:val="000000"/>
              </w:rPr>
              <w:t>n</w:t>
            </w:r>
            <w:r>
              <w:rPr>
                <w:color w:val="000000"/>
              </w:rPr>
              <w:t>t business outreach.  Prior year funds were not used due to personnel changes. </w:t>
            </w:r>
          </w:p>
          <w:p w14:paraId="58ADA774" w14:textId="0FC2FA61" w:rsidR="000B4D04" w:rsidRDefault="00B90386">
            <w:pPr>
              <w:spacing w:before="100" w:after="0"/>
            </w:pPr>
            <w:r>
              <w:rPr>
                <w:color w:val="000000"/>
              </w:rPr>
              <w:t>-Urban Village Mo</w:t>
            </w:r>
            <w:r w:rsidR="00177E91">
              <w:rPr>
                <w:color w:val="000000"/>
              </w:rPr>
              <w:t>n</w:t>
            </w:r>
            <w:r>
              <w:rPr>
                <w:color w:val="000000"/>
              </w:rPr>
              <w:t xml:space="preserve">tessori- Marigold Montessori Childcare and for Low-Income Working Families- this program will provide scholarships to 10 preschool youth at this Lower Acre childcare center so that their parents can pursue education and/or employment opportunities while awaiting State </w:t>
            </w:r>
            <w:r w:rsidR="007F2FB7">
              <w:rPr>
                <w:color w:val="000000"/>
              </w:rPr>
              <w:t>childcare</w:t>
            </w:r>
            <w:r>
              <w:rPr>
                <w:color w:val="000000"/>
              </w:rPr>
              <w:t xml:space="preserve"> vouchers, through $7,000 in CDBG support;</w:t>
            </w:r>
          </w:p>
          <w:p w14:paraId="18FDE688" w14:textId="40FAA60D" w:rsidR="000B4D04" w:rsidRDefault="00B90386">
            <w:pPr>
              <w:spacing w:before="100" w:after="0"/>
            </w:pPr>
            <w:r>
              <w:rPr>
                <w:color w:val="000000"/>
              </w:rPr>
              <w:t xml:space="preserve">-Urban Bridges, which is headquartered in the same Trinity Episcopal Church </w:t>
            </w:r>
            <w:r w:rsidR="00177E91">
              <w:rPr>
                <w:color w:val="000000"/>
              </w:rPr>
              <w:t>building</w:t>
            </w:r>
            <w:r>
              <w:rPr>
                <w:color w:val="000000"/>
              </w:rPr>
              <w:t xml:space="preserve"> as Marigold Montessori in the Lower Acre, will train a goal of 5 homeless women or indigent immigrants cooking skills and food prep</w:t>
            </w:r>
            <w:r w:rsidR="00177E91">
              <w:rPr>
                <w:color w:val="000000"/>
              </w:rPr>
              <w:t>a</w:t>
            </w:r>
            <w:r>
              <w:rPr>
                <w:color w:val="000000"/>
              </w:rPr>
              <w:t>ration certifications so they can obtain quality jobs in the food and/or restaurant industries, via $4,500 in CDBG support.</w:t>
            </w:r>
          </w:p>
          <w:p w14:paraId="5F81BDA1" w14:textId="77777777" w:rsidR="000B4D04" w:rsidRDefault="00B90386">
            <w:pPr>
              <w:spacing w:before="100" w:after="0"/>
            </w:pPr>
            <w:r>
              <w:rPr>
                <w:color w:val="000000"/>
              </w:rPr>
              <w:t>All told, this Goal seeks to create 35 jobs and assist at least 30 different businesses.</w:t>
            </w:r>
          </w:p>
          <w:p w14:paraId="0F54BB9B" w14:textId="77777777" w:rsidR="000B4D04" w:rsidRDefault="00B90386">
            <w:pPr>
              <w:spacing w:before="100" w:after="0"/>
            </w:pPr>
            <w:r>
              <w:rPr>
                <w:color w:val="000000"/>
              </w:rPr>
              <w:t>NOTE: CDBG Administrative Costs of $45,888.75 are factored into the budget for each Goal except Maintain Housing Stock (which uses its own Rehabilitation Administration funds).</w:t>
            </w:r>
          </w:p>
        </w:tc>
      </w:tr>
      <w:tr w:rsidR="000B4D04" w14:paraId="2F2D8789" w14:textId="77777777">
        <w:trPr>
          <w:cantSplit/>
        </w:trPr>
        <w:tc>
          <w:tcPr>
            <w:tcW w:w="0" w:type="auto"/>
            <w:vMerge w:val="restart"/>
          </w:tcPr>
          <w:p w14:paraId="6CA7D266" w14:textId="77777777" w:rsidR="000B4D04" w:rsidRDefault="00B90386">
            <w:pPr>
              <w:keepNext/>
              <w:spacing w:before="100" w:after="0"/>
            </w:pPr>
            <w:r>
              <w:rPr>
                <w:b/>
                <w:color w:val="000000"/>
              </w:rPr>
              <w:lastRenderedPageBreak/>
              <w:t>5</w:t>
            </w:r>
          </w:p>
        </w:tc>
        <w:tc>
          <w:tcPr>
            <w:tcW w:w="0" w:type="auto"/>
          </w:tcPr>
          <w:p w14:paraId="7D3F8DEF" w14:textId="77777777" w:rsidR="000B4D04" w:rsidRDefault="00B90386">
            <w:pPr>
              <w:keepNext/>
              <w:spacing w:before="100" w:after="0"/>
              <w:rPr>
                <w:b/>
                <w:sz w:val="24"/>
                <w:szCs w:val="24"/>
              </w:rPr>
            </w:pPr>
            <w:r>
              <w:rPr>
                <w:b/>
                <w:sz w:val="24"/>
                <w:szCs w:val="24"/>
              </w:rPr>
              <w:t>Goal Name</w:t>
            </w:r>
          </w:p>
        </w:tc>
        <w:tc>
          <w:tcPr>
            <w:tcW w:w="0" w:type="auto"/>
          </w:tcPr>
          <w:p w14:paraId="0A3505D6" w14:textId="77777777" w:rsidR="000B4D04" w:rsidRDefault="00B90386">
            <w:pPr>
              <w:spacing w:before="100" w:after="0"/>
            </w:pPr>
            <w:r>
              <w:rPr>
                <w:color w:val="000000"/>
              </w:rPr>
              <w:t>Stabilize Neighborhoods + Increase Owner-Occupancy</w:t>
            </w:r>
          </w:p>
        </w:tc>
      </w:tr>
      <w:tr w:rsidR="000B4D04" w14:paraId="209AC429" w14:textId="77777777">
        <w:trPr>
          <w:cantSplit/>
        </w:trPr>
        <w:tc>
          <w:tcPr>
            <w:tcW w:w="0" w:type="auto"/>
            <w:vMerge/>
          </w:tcPr>
          <w:p w14:paraId="00B54D5E" w14:textId="77777777" w:rsidR="000B4D04" w:rsidRDefault="000B4D04"/>
        </w:tc>
        <w:tc>
          <w:tcPr>
            <w:tcW w:w="0" w:type="auto"/>
          </w:tcPr>
          <w:p w14:paraId="4665C446" w14:textId="77777777" w:rsidR="000B4D04" w:rsidRDefault="00B90386">
            <w:pPr>
              <w:keepNext/>
              <w:spacing w:before="100" w:after="0"/>
              <w:rPr>
                <w:b/>
                <w:sz w:val="24"/>
                <w:szCs w:val="24"/>
              </w:rPr>
            </w:pPr>
            <w:r>
              <w:rPr>
                <w:b/>
                <w:sz w:val="24"/>
                <w:szCs w:val="24"/>
              </w:rPr>
              <w:t>Goal Description</w:t>
            </w:r>
          </w:p>
        </w:tc>
        <w:tc>
          <w:tcPr>
            <w:tcW w:w="0" w:type="auto"/>
          </w:tcPr>
          <w:p w14:paraId="492782F4" w14:textId="77777777" w:rsidR="000B4D04" w:rsidRDefault="00B90386">
            <w:pPr>
              <w:spacing w:before="100" w:after="0"/>
            </w:pPr>
            <w:r>
              <w:rPr>
                <w:color w:val="000000"/>
              </w:rPr>
              <w:t>This Goal consists of a range of activities that maintain quality of life. </w:t>
            </w:r>
          </w:p>
          <w:p w14:paraId="0BD7A190" w14:textId="77777777" w:rsidR="000B4D04" w:rsidRDefault="00B90386">
            <w:pPr>
              <w:spacing w:before="100" w:after="0"/>
            </w:pPr>
            <w:r>
              <w:rPr>
                <w:color w:val="000000"/>
              </w:rPr>
              <w:t>Promoting more homeownership allows neighborhoods to flourish with residents rooted and motivated to maintain their properties, develop relationships with neighbors and reduce illicit activity. Therefore, the City offers $15,000 in CDBG First-Time Homebuyer Assistance, providing closing costs/ downpayment assistance that is fully forgivable after 5 years.  Only $15,000 in PY25 funds are allocated to this activity, but $45,000 in unspent prior year funds, due to the eligibility challenges posed by the 80% Ar</w:t>
            </w:r>
            <w:r>
              <w:rPr>
                <w:color w:val="000000"/>
              </w:rPr>
              <w:t>ea Median Income (AMI) limits, for a revised goal of 4.</w:t>
            </w:r>
          </w:p>
          <w:p w14:paraId="6A5DB966" w14:textId="77777777" w:rsidR="000B4D04" w:rsidRDefault="00B90386">
            <w:pPr>
              <w:spacing w:before="100" w:after="0"/>
            </w:pPr>
            <w:r>
              <w:rPr>
                <w:color w:val="000000"/>
              </w:rPr>
              <w:t>Without public safety, economic and community development cannot flourish.  Many CDBG activities promote youth enrichment, turning youth away from gangs, drugs, and delinquency. PY25 activities in support of this goal include:</w:t>
            </w:r>
          </w:p>
          <w:p w14:paraId="289E5EB7" w14:textId="77777777" w:rsidR="000B4D04" w:rsidRDefault="00B90386">
            <w:pPr>
              <w:spacing w:before="100" w:after="0"/>
            </w:pPr>
            <w:r>
              <w:rPr>
                <w:color w:val="000000"/>
              </w:rPr>
              <w:t>-Haverhill YMCA- Summer Nights At-Risk Youth Programming at the Y's Lower Acre location for a goal of 55 youth through $15,000 in CDBG funds;</w:t>
            </w:r>
          </w:p>
          <w:p w14:paraId="5EA45218" w14:textId="77777777" w:rsidR="000B4D04" w:rsidRDefault="00B90386">
            <w:pPr>
              <w:spacing w:before="100" w:after="0"/>
            </w:pPr>
            <w:r>
              <w:rPr>
                <w:color w:val="000000"/>
              </w:rPr>
              <w:t>-YWCA- Summer Enrichment Program supporting 22</w:t>
            </w:r>
            <w:r>
              <w:rPr>
                <w:i/>
                <w:color w:val="000000"/>
              </w:rPr>
              <w:t> </w:t>
            </w:r>
            <w:r>
              <w:rPr>
                <w:color w:val="000000"/>
              </w:rPr>
              <w:t>youth and girls at the YWCA's Lower Acre location via $4,500 in CDBG funds;</w:t>
            </w:r>
          </w:p>
          <w:p w14:paraId="60EE44B9" w14:textId="77777777" w:rsidR="000B4D04" w:rsidRDefault="00B90386">
            <w:pPr>
              <w:spacing w:before="100" w:after="0"/>
            </w:pPr>
            <w:r>
              <w:rPr>
                <w:color w:val="000000"/>
              </w:rPr>
              <w:t>-Boys and Girls Club of Greater Haverhill- Pathways to Success program, which provides after-school homework help and academic tutoring along with athletics, cultural enrichment, games and mentorship for a goal for 16 at-risk city youth through $5,000 in CDBG support at their Downtown location;</w:t>
            </w:r>
          </w:p>
          <w:p w14:paraId="2FCF5D87" w14:textId="77777777" w:rsidR="000B4D04" w:rsidRDefault="00B90386">
            <w:pPr>
              <w:spacing w:before="100" w:after="0"/>
            </w:pPr>
            <w:r>
              <w:rPr>
                <w:color w:val="000000"/>
              </w:rPr>
              <w:t>-Somebody Cares New England- 'The Verge' Youth Center- providing leadership curriculum, enrichment, basketball, discovery field trips and food to a goal of 180 youth in Mount Washington with $6,000 in CDBG dollars;</w:t>
            </w:r>
          </w:p>
          <w:p w14:paraId="4143C23C" w14:textId="77777777" w:rsidR="000B4D04" w:rsidRDefault="00B90386">
            <w:pPr>
              <w:spacing w:before="100" w:after="0"/>
            </w:pPr>
            <w:r>
              <w:rPr>
                <w:color w:val="000000"/>
              </w:rPr>
              <w:t>-Albert B. Consentino Middle School-Student, Family and Community Engagement Initiative, supporting 120 youth and their families via $6,000 in CDBG support in the Mount Washington area;</w:t>
            </w:r>
          </w:p>
          <w:p w14:paraId="5F7F487E" w14:textId="77777777" w:rsidR="000B4D04" w:rsidRDefault="00B90386">
            <w:pPr>
              <w:spacing w:before="100" w:after="0"/>
            </w:pPr>
            <w:r>
              <w:rPr>
                <w:color w:val="000000"/>
              </w:rPr>
              <w:t>-Consentino School-  McKinney-Vento Mindful Connections program, providing services and case management to 28 at-risk youth and families through $1,550 in CDBG support;</w:t>
            </w:r>
          </w:p>
          <w:p w14:paraId="310CFBAA" w14:textId="0A0B7BAF" w:rsidR="000B4D04" w:rsidRDefault="00B90386">
            <w:pPr>
              <w:spacing w:before="100" w:after="0"/>
            </w:pPr>
            <w:r>
              <w:rPr>
                <w:color w:val="000000"/>
              </w:rPr>
              <w:t xml:space="preserve">This Goal also support the enhanced housing, health, sanitation, and building Code Enforcement efforts in the CDBG Target Area to maintain living standards in these inner-city areas, with over 2,025 expected property inspections. Since the COVID Pandemic, the City has reduced its CDBG allotments to this </w:t>
            </w:r>
            <w:r w:rsidR="00177E91">
              <w:rPr>
                <w:color w:val="000000"/>
              </w:rPr>
              <w:t>Project</w:t>
            </w:r>
            <w:r>
              <w:rPr>
                <w:color w:val="000000"/>
              </w:rPr>
              <w:t>, now slated for $68,000 for PY25.</w:t>
            </w:r>
          </w:p>
          <w:p w14:paraId="5A1F8631" w14:textId="77777777" w:rsidR="000B4D04" w:rsidRDefault="00B90386">
            <w:pPr>
              <w:spacing w:before="100" w:after="0"/>
            </w:pPr>
            <w:r>
              <w:rPr>
                <w:color w:val="000000"/>
              </w:rPr>
              <w:t>This Goal places $2,000 for demolition/clearance activities (for 1 property if necessary) to ensure quality neighborhood conditions.</w:t>
            </w:r>
          </w:p>
          <w:p w14:paraId="066BF30D" w14:textId="77777777" w:rsidR="000B4D04" w:rsidRDefault="00B90386">
            <w:pPr>
              <w:spacing w:before="100" w:after="0"/>
            </w:pPr>
            <w:r>
              <w:rPr>
                <w:color w:val="000000"/>
              </w:rPr>
              <w:lastRenderedPageBreak/>
              <w:t>This goal also encompasses most Public Improvement activities, geared toward improving the Target Area.  This includes $11,485 in PY25 funds for a final year of Beyond Walls' mural painting initiative in downtown Haverhill ($24,485 total).  $13,059 for 2 other projects will be allocated towards the City's Capital Plan as necessary. $12,500 are allocated towards the continuing goal of making the city's food pantry network more accessible and resilient to climate change events or natural disasters, when deman</w:t>
            </w:r>
            <w:r>
              <w:rPr>
                <w:color w:val="000000"/>
              </w:rPr>
              <w:t>d for these services will boom.</w:t>
            </w:r>
          </w:p>
          <w:p w14:paraId="7657E6C0" w14:textId="77777777" w:rsidR="000B4D04" w:rsidRDefault="00B90386">
            <w:pPr>
              <w:spacing w:before="100" w:after="0"/>
            </w:pPr>
            <w:r>
              <w:rPr>
                <w:color w:val="000000"/>
              </w:rPr>
              <w:t>At least an estimated $197,400 in prior year unspent funds and projected program income will be allocated to Public Improvements, largely to aid the transformative public-private District Square redevelopment by the Lupoli Companies in the former Urban Renewal district Downtown, including construction of a public plaza connecting the Lower Acre with the Merrimack Riverfront.  Just up the road, resurfacing and enhancements to Washington Square have been designed and this project comprises another opportunity</w:t>
            </w:r>
            <w:r>
              <w:rPr>
                <w:color w:val="000000"/>
              </w:rPr>
              <w:t xml:space="preserve"> for Public Improvement investments.</w:t>
            </w:r>
          </w:p>
          <w:p w14:paraId="253C5A53" w14:textId="77777777" w:rsidR="000B4D04" w:rsidRDefault="00B90386">
            <w:pPr>
              <w:spacing w:before="100" w:after="0"/>
            </w:pPr>
            <w:r>
              <w:rPr>
                <w:color w:val="000000"/>
              </w:rPr>
              <w:t>Together, these activities help create family-friendly, stable neighborhoods.</w:t>
            </w:r>
          </w:p>
          <w:p w14:paraId="1761DE53" w14:textId="77777777" w:rsidR="000B4D04" w:rsidRDefault="00B90386">
            <w:pPr>
              <w:spacing w:before="100" w:after="0"/>
            </w:pPr>
            <w:r>
              <w:rPr>
                <w:color w:val="000000"/>
              </w:rPr>
              <w:t>NOTE: CDBG Administrative Costs of $45,888.75 are factored into this budget.</w:t>
            </w:r>
          </w:p>
        </w:tc>
      </w:tr>
    </w:tbl>
    <w:p w14:paraId="6C642099" w14:textId="77777777" w:rsidR="000B4D04" w:rsidRDefault="000B4D04">
      <w:pPr>
        <w:rPr>
          <w:b/>
          <w:sz w:val="24"/>
          <w:szCs w:val="24"/>
        </w:rPr>
      </w:pPr>
    </w:p>
    <w:p w14:paraId="58438744" w14:textId="77777777" w:rsidR="000B4D04" w:rsidRDefault="000B4D04">
      <w:pPr>
        <w:rPr>
          <w:b/>
          <w:sz w:val="24"/>
          <w:szCs w:val="24"/>
        </w:rPr>
      </w:pPr>
    </w:p>
    <w:p w14:paraId="31A914F2" w14:textId="77777777" w:rsidR="000B4D04" w:rsidRDefault="000B4D04"/>
    <w:p w14:paraId="3E954834" w14:textId="77777777" w:rsidR="000B4D04" w:rsidRDefault="000B4D04">
      <w:pPr>
        <w:keepNext/>
        <w:widowControl w:val="0"/>
        <w:spacing w:line="204" w:lineRule="auto"/>
        <w:rPr>
          <w:b/>
          <w:sz w:val="24"/>
          <w:szCs w:val="24"/>
        </w:rPr>
      </w:pPr>
    </w:p>
    <w:p w14:paraId="7FFFC6E2" w14:textId="77777777" w:rsidR="000B4D04" w:rsidRDefault="000B4D04">
      <w:pPr>
        <w:rPr>
          <w:b/>
          <w:sz w:val="24"/>
          <w:szCs w:val="24"/>
        </w:rPr>
      </w:pPr>
    </w:p>
    <w:p w14:paraId="127DBDB2" w14:textId="77777777" w:rsidR="000B4D04" w:rsidRDefault="000B4D04">
      <w:pPr>
        <w:widowControl w:val="0"/>
      </w:pPr>
    </w:p>
    <w:p w14:paraId="7CE31739" w14:textId="77777777" w:rsidR="000B4D04" w:rsidRDefault="000B4D04">
      <w:pPr>
        <w:sectPr w:rsidR="000B4D04">
          <w:footerReference w:type="default" r:id="rId8"/>
          <w:pgSz w:w="15840" w:h="12240" w:orient="landscape" w:code="1"/>
          <w:pgMar w:top="1440" w:right="1440" w:bottom="1440" w:left="1440" w:header="720" w:footer="720" w:gutter="0"/>
          <w:cols w:space="720"/>
          <w:docGrid w:linePitch="360"/>
        </w:sectPr>
      </w:pPr>
    </w:p>
    <w:p w14:paraId="2EFEE370" w14:textId="77777777" w:rsidR="000B4D04" w:rsidRDefault="00B90386">
      <w:pPr>
        <w:pStyle w:val="Heading2"/>
        <w:rPr>
          <w:rFonts w:ascii="Calibri" w:hAnsi="Calibri"/>
          <w:i w:val="0"/>
        </w:rPr>
      </w:pPr>
      <w:bookmarkStart w:id="1" w:name="_Toc309810475"/>
      <w:bookmarkEnd w:id="0"/>
      <w:r>
        <w:rPr>
          <w:rFonts w:ascii="Calibri" w:hAnsi="Calibri"/>
          <w:i w:val="0"/>
        </w:rPr>
        <w:lastRenderedPageBreak/>
        <w:t>AP-35 Projects - 91.420, 91.220(d)</w:t>
      </w:r>
    </w:p>
    <w:p w14:paraId="036811BD" w14:textId="77777777" w:rsidR="000B4D04" w:rsidRDefault="00B90386">
      <w:pPr>
        <w:keepNext/>
        <w:widowControl w:val="0"/>
        <w:spacing w:line="204" w:lineRule="auto"/>
        <w:rPr>
          <w:b/>
          <w:sz w:val="24"/>
          <w:szCs w:val="24"/>
        </w:rPr>
      </w:pPr>
      <w:r>
        <w:rPr>
          <w:b/>
          <w:sz w:val="24"/>
          <w:szCs w:val="24"/>
        </w:rPr>
        <w:t xml:space="preserve">Introduction </w:t>
      </w:r>
    </w:p>
    <w:p w14:paraId="4A7D2F2A" w14:textId="77777777" w:rsidR="000B4D04" w:rsidRDefault="00B90386">
      <w:pPr>
        <w:keepNext/>
        <w:widowControl w:val="0"/>
        <w:spacing w:beforeAutospacing="1" w:afterAutospacing="1"/>
        <w:rPr>
          <w:b/>
          <w:sz w:val="24"/>
          <w:szCs w:val="24"/>
        </w:rPr>
      </w:pPr>
      <w:r>
        <w:rPr>
          <w:rFonts w:cs="Arial"/>
        </w:rPr>
        <w:t>The City has 10 activities that are similar in scope to last Program Year, but the allocation have changed to reflect new demands, community priorities, and fiscal realities.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3374"/>
      </w:tblGrid>
      <w:tr w:rsidR="000B4D04" w14:paraId="359EF88A" w14:textId="77777777">
        <w:trPr>
          <w:cantSplit/>
          <w:tblHeader/>
        </w:trPr>
        <w:tc>
          <w:tcPr>
            <w:tcW w:w="0" w:type="auto"/>
          </w:tcPr>
          <w:p w14:paraId="3F873E3E" w14:textId="77777777" w:rsidR="000B4D04" w:rsidRDefault="00B90386">
            <w:pPr>
              <w:keepNext/>
              <w:widowControl w:val="0"/>
              <w:spacing w:after="0" w:line="240" w:lineRule="auto"/>
              <w:jc w:val="center"/>
              <w:rPr>
                <w:b/>
              </w:rPr>
            </w:pPr>
            <w:r>
              <w:rPr>
                <w:b/>
              </w:rPr>
              <w:t>#</w:t>
            </w:r>
          </w:p>
        </w:tc>
        <w:tc>
          <w:tcPr>
            <w:tcW w:w="0" w:type="auto"/>
          </w:tcPr>
          <w:p w14:paraId="426B9E26" w14:textId="77777777" w:rsidR="000B4D04" w:rsidRDefault="00B90386">
            <w:pPr>
              <w:keepNext/>
              <w:widowControl w:val="0"/>
              <w:spacing w:after="0" w:line="240" w:lineRule="auto"/>
              <w:jc w:val="center"/>
              <w:rPr>
                <w:b/>
                <w:szCs w:val="24"/>
              </w:rPr>
            </w:pPr>
            <w:r>
              <w:rPr>
                <w:b/>
              </w:rPr>
              <w:t>Project Name</w:t>
            </w:r>
          </w:p>
        </w:tc>
      </w:tr>
      <w:tr w:rsidR="000B4D04" w14:paraId="257CAE7B" w14:textId="77777777">
        <w:trPr>
          <w:cantSplit/>
        </w:trPr>
        <w:tc>
          <w:tcPr>
            <w:tcW w:w="0" w:type="auto"/>
            <w:vAlign w:val="bottom"/>
          </w:tcPr>
          <w:p w14:paraId="2EB18CB7" w14:textId="77777777" w:rsidR="000B4D04" w:rsidRDefault="00B90386">
            <w:pPr>
              <w:spacing w:beforeAutospacing="1" w:afterAutospacing="1"/>
              <w:jc w:val="right"/>
            </w:pPr>
            <w:r>
              <w:rPr>
                <w:color w:val="000000"/>
              </w:rPr>
              <w:t>1</w:t>
            </w:r>
          </w:p>
        </w:tc>
        <w:tc>
          <w:tcPr>
            <w:tcW w:w="0" w:type="auto"/>
            <w:vAlign w:val="bottom"/>
          </w:tcPr>
          <w:p w14:paraId="6C70265D" w14:textId="77777777" w:rsidR="000B4D04" w:rsidRDefault="00B90386">
            <w:pPr>
              <w:spacing w:beforeAutospacing="1" w:afterAutospacing="1"/>
            </w:pPr>
            <w:r>
              <w:rPr>
                <w:color w:val="000000"/>
              </w:rPr>
              <w:t>General Administration + Planning</w:t>
            </w:r>
          </w:p>
        </w:tc>
      </w:tr>
      <w:tr w:rsidR="000B4D04" w14:paraId="4EDCBF91" w14:textId="77777777">
        <w:trPr>
          <w:cantSplit/>
        </w:trPr>
        <w:tc>
          <w:tcPr>
            <w:tcW w:w="0" w:type="auto"/>
            <w:vAlign w:val="bottom"/>
          </w:tcPr>
          <w:p w14:paraId="3B3E5F5A" w14:textId="77777777" w:rsidR="000B4D04" w:rsidRDefault="00B90386">
            <w:pPr>
              <w:spacing w:beforeAutospacing="1" w:afterAutospacing="1"/>
              <w:jc w:val="right"/>
            </w:pPr>
            <w:r>
              <w:rPr>
                <w:color w:val="000000"/>
              </w:rPr>
              <w:t>2</w:t>
            </w:r>
          </w:p>
        </w:tc>
        <w:tc>
          <w:tcPr>
            <w:tcW w:w="0" w:type="auto"/>
            <w:vAlign w:val="bottom"/>
          </w:tcPr>
          <w:p w14:paraId="62DCE226" w14:textId="77777777" w:rsidR="000B4D04" w:rsidRDefault="00B90386">
            <w:pPr>
              <w:spacing w:beforeAutospacing="1" w:afterAutospacing="1"/>
            </w:pPr>
            <w:r>
              <w:rPr>
                <w:color w:val="000000"/>
              </w:rPr>
              <w:t>REHABILITATION ADMINISTRATION</w:t>
            </w:r>
          </w:p>
        </w:tc>
      </w:tr>
      <w:tr w:rsidR="000B4D04" w14:paraId="7A08C5FA" w14:textId="77777777">
        <w:trPr>
          <w:cantSplit/>
        </w:trPr>
        <w:tc>
          <w:tcPr>
            <w:tcW w:w="0" w:type="auto"/>
            <w:vAlign w:val="bottom"/>
          </w:tcPr>
          <w:p w14:paraId="05AE0FDF" w14:textId="77777777" w:rsidR="000B4D04" w:rsidRDefault="00B90386">
            <w:pPr>
              <w:spacing w:beforeAutospacing="1" w:afterAutospacing="1"/>
              <w:jc w:val="right"/>
            </w:pPr>
            <w:r>
              <w:rPr>
                <w:color w:val="000000"/>
              </w:rPr>
              <w:t>3</w:t>
            </w:r>
          </w:p>
        </w:tc>
        <w:tc>
          <w:tcPr>
            <w:tcW w:w="0" w:type="auto"/>
            <w:vAlign w:val="bottom"/>
          </w:tcPr>
          <w:p w14:paraId="01A38A99" w14:textId="77777777" w:rsidR="000B4D04" w:rsidRDefault="00B90386">
            <w:pPr>
              <w:spacing w:beforeAutospacing="1" w:afterAutospacing="1"/>
            </w:pPr>
            <w:r>
              <w:rPr>
                <w:color w:val="000000"/>
              </w:rPr>
              <w:t>CODE ENFORCEMENT</w:t>
            </w:r>
          </w:p>
        </w:tc>
      </w:tr>
      <w:tr w:rsidR="000B4D04" w14:paraId="0C7786C2" w14:textId="77777777">
        <w:trPr>
          <w:cantSplit/>
        </w:trPr>
        <w:tc>
          <w:tcPr>
            <w:tcW w:w="0" w:type="auto"/>
            <w:vAlign w:val="bottom"/>
          </w:tcPr>
          <w:p w14:paraId="3DA00314" w14:textId="77777777" w:rsidR="000B4D04" w:rsidRDefault="00B90386">
            <w:pPr>
              <w:spacing w:beforeAutospacing="1" w:afterAutospacing="1"/>
              <w:jc w:val="right"/>
            </w:pPr>
            <w:r>
              <w:rPr>
                <w:color w:val="000000"/>
              </w:rPr>
              <w:t>4</w:t>
            </w:r>
          </w:p>
        </w:tc>
        <w:tc>
          <w:tcPr>
            <w:tcW w:w="0" w:type="auto"/>
            <w:vAlign w:val="bottom"/>
          </w:tcPr>
          <w:p w14:paraId="3EA2F400" w14:textId="77777777" w:rsidR="000B4D04" w:rsidRDefault="00B90386">
            <w:pPr>
              <w:spacing w:beforeAutospacing="1" w:afterAutospacing="1"/>
            </w:pPr>
            <w:r>
              <w:rPr>
                <w:color w:val="000000"/>
              </w:rPr>
              <w:t>Public Improvements</w:t>
            </w:r>
          </w:p>
        </w:tc>
      </w:tr>
      <w:tr w:rsidR="000B4D04" w14:paraId="4380F0EE" w14:textId="77777777">
        <w:trPr>
          <w:cantSplit/>
        </w:trPr>
        <w:tc>
          <w:tcPr>
            <w:tcW w:w="0" w:type="auto"/>
            <w:vAlign w:val="bottom"/>
          </w:tcPr>
          <w:p w14:paraId="60798363" w14:textId="77777777" w:rsidR="000B4D04" w:rsidRDefault="00B90386">
            <w:pPr>
              <w:spacing w:beforeAutospacing="1" w:afterAutospacing="1"/>
              <w:jc w:val="right"/>
            </w:pPr>
            <w:r>
              <w:rPr>
                <w:color w:val="000000"/>
              </w:rPr>
              <w:t>5</w:t>
            </w:r>
          </w:p>
        </w:tc>
        <w:tc>
          <w:tcPr>
            <w:tcW w:w="0" w:type="auto"/>
            <w:vAlign w:val="bottom"/>
          </w:tcPr>
          <w:p w14:paraId="30B24EAC" w14:textId="77777777" w:rsidR="000B4D04" w:rsidRDefault="00B90386">
            <w:pPr>
              <w:spacing w:beforeAutospacing="1" w:afterAutospacing="1"/>
            </w:pPr>
            <w:r>
              <w:rPr>
                <w:color w:val="000000"/>
              </w:rPr>
              <w:t>Single Family Rehabilitation</w:t>
            </w:r>
          </w:p>
        </w:tc>
      </w:tr>
      <w:tr w:rsidR="000B4D04" w14:paraId="6515549F" w14:textId="77777777">
        <w:trPr>
          <w:cantSplit/>
        </w:trPr>
        <w:tc>
          <w:tcPr>
            <w:tcW w:w="0" w:type="auto"/>
            <w:vAlign w:val="bottom"/>
          </w:tcPr>
          <w:p w14:paraId="44A7A923" w14:textId="77777777" w:rsidR="000B4D04" w:rsidRDefault="00B90386">
            <w:pPr>
              <w:spacing w:beforeAutospacing="1" w:afterAutospacing="1"/>
              <w:jc w:val="right"/>
            </w:pPr>
            <w:r>
              <w:rPr>
                <w:color w:val="000000"/>
              </w:rPr>
              <w:t>6</w:t>
            </w:r>
          </w:p>
        </w:tc>
        <w:tc>
          <w:tcPr>
            <w:tcW w:w="0" w:type="auto"/>
            <w:vAlign w:val="bottom"/>
          </w:tcPr>
          <w:p w14:paraId="6F1072E9" w14:textId="77777777" w:rsidR="000B4D04" w:rsidRDefault="00B90386">
            <w:pPr>
              <w:spacing w:beforeAutospacing="1" w:afterAutospacing="1"/>
            </w:pPr>
            <w:r>
              <w:rPr>
                <w:color w:val="000000"/>
              </w:rPr>
              <w:t>Multi-Family Rehabilitation</w:t>
            </w:r>
          </w:p>
        </w:tc>
      </w:tr>
      <w:tr w:rsidR="000B4D04" w14:paraId="0AD77B62" w14:textId="77777777">
        <w:trPr>
          <w:cantSplit/>
        </w:trPr>
        <w:tc>
          <w:tcPr>
            <w:tcW w:w="0" w:type="auto"/>
            <w:vAlign w:val="bottom"/>
          </w:tcPr>
          <w:p w14:paraId="7E5C3AE3" w14:textId="77777777" w:rsidR="000B4D04" w:rsidRDefault="00B90386">
            <w:pPr>
              <w:spacing w:beforeAutospacing="1" w:afterAutospacing="1"/>
              <w:jc w:val="right"/>
            </w:pPr>
            <w:r>
              <w:rPr>
                <w:color w:val="000000"/>
              </w:rPr>
              <w:t>7</w:t>
            </w:r>
          </w:p>
        </w:tc>
        <w:tc>
          <w:tcPr>
            <w:tcW w:w="0" w:type="auto"/>
            <w:vAlign w:val="bottom"/>
          </w:tcPr>
          <w:p w14:paraId="334C2295" w14:textId="77777777" w:rsidR="000B4D04" w:rsidRDefault="00B90386">
            <w:pPr>
              <w:spacing w:beforeAutospacing="1" w:afterAutospacing="1"/>
            </w:pPr>
            <w:r>
              <w:rPr>
                <w:color w:val="000000"/>
              </w:rPr>
              <w:t>Public Services</w:t>
            </w:r>
          </w:p>
        </w:tc>
      </w:tr>
      <w:tr w:rsidR="000B4D04" w14:paraId="75F00160" w14:textId="77777777">
        <w:trPr>
          <w:cantSplit/>
        </w:trPr>
        <w:tc>
          <w:tcPr>
            <w:tcW w:w="0" w:type="auto"/>
            <w:vAlign w:val="bottom"/>
          </w:tcPr>
          <w:p w14:paraId="07A51C7F" w14:textId="77777777" w:rsidR="000B4D04" w:rsidRDefault="00B90386">
            <w:pPr>
              <w:spacing w:beforeAutospacing="1" w:afterAutospacing="1"/>
              <w:jc w:val="right"/>
            </w:pPr>
            <w:r>
              <w:rPr>
                <w:color w:val="000000"/>
              </w:rPr>
              <w:t>8</w:t>
            </w:r>
          </w:p>
        </w:tc>
        <w:tc>
          <w:tcPr>
            <w:tcW w:w="0" w:type="auto"/>
            <w:vAlign w:val="bottom"/>
          </w:tcPr>
          <w:p w14:paraId="6442E8F6" w14:textId="77777777" w:rsidR="000B4D04" w:rsidRDefault="00B90386">
            <w:pPr>
              <w:spacing w:beforeAutospacing="1" w:afterAutospacing="1"/>
            </w:pPr>
            <w:r>
              <w:rPr>
                <w:color w:val="000000"/>
              </w:rPr>
              <w:t>Demolition and Clearance</w:t>
            </w:r>
          </w:p>
        </w:tc>
      </w:tr>
      <w:tr w:rsidR="000B4D04" w14:paraId="57959563" w14:textId="77777777">
        <w:trPr>
          <w:cantSplit/>
        </w:trPr>
        <w:tc>
          <w:tcPr>
            <w:tcW w:w="0" w:type="auto"/>
            <w:vAlign w:val="bottom"/>
          </w:tcPr>
          <w:p w14:paraId="1371C22E" w14:textId="77777777" w:rsidR="000B4D04" w:rsidRDefault="00B90386">
            <w:pPr>
              <w:spacing w:beforeAutospacing="1" w:afterAutospacing="1"/>
              <w:jc w:val="right"/>
            </w:pPr>
            <w:r>
              <w:rPr>
                <w:color w:val="000000"/>
              </w:rPr>
              <w:t>9</w:t>
            </w:r>
          </w:p>
        </w:tc>
        <w:tc>
          <w:tcPr>
            <w:tcW w:w="0" w:type="auto"/>
            <w:vAlign w:val="bottom"/>
          </w:tcPr>
          <w:p w14:paraId="0E330D65" w14:textId="77777777" w:rsidR="000B4D04" w:rsidRDefault="00B90386">
            <w:pPr>
              <w:spacing w:beforeAutospacing="1" w:afterAutospacing="1"/>
            </w:pPr>
            <w:r>
              <w:rPr>
                <w:color w:val="000000"/>
              </w:rPr>
              <w:t>Economic Development</w:t>
            </w:r>
          </w:p>
        </w:tc>
      </w:tr>
      <w:tr w:rsidR="000B4D04" w14:paraId="7A21A044" w14:textId="77777777">
        <w:trPr>
          <w:cantSplit/>
        </w:trPr>
        <w:tc>
          <w:tcPr>
            <w:tcW w:w="0" w:type="auto"/>
            <w:vAlign w:val="bottom"/>
          </w:tcPr>
          <w:p w14:paraId="2090CB90" w14:textId="77777777" w:rsidR="000B4D04" w:rsidRDefault="00B90386">
            <w:pPr>
              <w:spacing w:beforeAutospacing="1" w:afterAutospacing="1"/>
              <w:jc w:val="right"/>
            </w:pPr>
            <w:r>
              <w:rPr>
                <w:color w:val="000000"/>
              </w:rPr>
              <w:t>10</w:t>
            </w:r>
          </w:p>
        </w:tc>
        <w:tc>
          <w:tcPr>
            <w:tcW w:w="0" w:type="auto"/>
            <w:vAlign w:val="bottom"/>
          </w:tcPr>
          <w:p w14:paraId="6DDE098F" w14:textId="77777777" w:rsidR="000B4D04" w:rsidRDefault="00B90386">
            <w:pPr>
              <w:spacing w:beforeAutospacing="1" w:afterAutospacing="1"/>
            </w:pPr>
            <w:r>
              <w:rPr>
                <w:color w:val="000000"/>
              </w:rPr>
              <w:t>First-Time Home Buyer Assistance</w:t>
            </w:r>
          </w:p>
        </w:tc>
      </w:tr>
    </w:tbl>
    <w:p w14:paraId="770E5180" w14:textId="77777777" w:rsidR="000B4D04" w:rsidRDefault="00B90386">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14:paraId="7B59A4FD" w14:textId="77777777" w:rsidR="000B4D04" w:rsidRDefault="000B4D04">
      <w:pPr>
        <w:spacing w:after="0" w:line="240" w:lineRule="auto"/>
        <w:rPr>
          <w:b/>
          <w:sz w:val="24"/>
          <w:szCs w:val="24"/>
        </w:rPr>
      </w:pPr>
    </w:p>
    <w:p w14:paraId="391B8A1A" w14:textId="77777777" w:rsidR="000B4D04" w:rsidRDefault="00B90386">
      <w:pPr>
        <w:keepNext/>
        <w:widowControl w:val="0"/>
        <w:spacing w:line="204" w:lineRule="auto"/>
        <w:rPr>
          <w:b/>
          <w:sz w:val="24"/>
          <w:szCs w:val="24"/>
        </w:rPr>
      </w:pPr>
      <w:r>
        <w:rPr>
          <w:b/>
          <w:sz w:val="24"/>
          <w:szCs w:val="24"/>
        </w:rPr>
        <w:t>Describe the reasons for allocation priorities and any obstacles to addressing underserved needs</w:t>
      </w:r>
    </w:p>
    <w:p w14:paraId="708DDB96" w14:textId="77777777" w:rsidR="000B4D04" w:rsidRDefault="00B90386">
      <w:pPr>
        <w:keepNext/>
        <w:widowControl w:val="0"/>
        <w:spacing w:beforeAutospacing="1" w:afterAutospacing="1"/>
        <w:rPr>
          <w:rFonts w:cs="Arial"/>
          <w:szCs w:val="24"/>
        </w:rPr>
      </w:pPr>
      <w:r>
        <w:rPr>
          <w:rFonts w:cs="Arial"/>
        </w:rPr>
        <w:t>Housing Rehabilitation is the paramount funding priority, with the largest share of funds being allocated for those activities.  With 40% of all housing stock in the City still being built before 1940, the need for upkeep is constant, coming at a time when many households simply cannot keep up with the expense of maintenance. </w:t>
      </w:r>
    </w:p>
    <w:p w14:paraId="0D2E0906" w14:textId="77777777" w:rsidR="000B4D04" w:rsidRDefault="00B90386">
      <w:pPr>
        <w:keepNext/>
        <w:widowControl w:val="0"/>
        <w:spacing w:beforeAutospacing="1" w:afterAutospacing="1"/>
        <w:rPr>
          <w:rFonts w:cs="Arial"/>
          <w:szCs w:val="24"/>
        </w:rPr>
      </w:pPr>
      <w:r>
        <w:rPr>
          <w:rFonts w:cs="Arial"/>
        </w:rPr>
        <w:t>Targeted Economic Development Activities also will be increased in Program Year 2025, to support small businesses and to drive employment against economic headwinds.</w:t>
      </w:r>
    </w:p>
    <w:p w14:paraId="3A1CE4A6" w14:textId="75948E1C" w:rsidR="000B4D04" w:rsidRDefault="00B90386">
      <w:pPr>
        <w:keepNext/>
        <w:widowControl w:val="0"/>
        <w:spacing w:beforeAutospacing="1" w:afterAutospacing="1"/>
        <w:rPr>
          <w:rFonts w:cs="Arial"/>
          <w:szCs w:val="24"/>
        </w:rPr>
      </w:pPr>
      <w:r>
        <w:rPr>
          <w:rFonts w:cs="Arial"/>
        </w:rPr>
        <w:t>This is the final year that American Rescue Plan Act (ARPA) funds can reduce the priority for investment in certain Public Infrastructure Improvements as well as certain Public Service categories (i.e. Youth programs covered by ARPA). However, the need for add</w:t>
      </w:r>
      <w:r w:rsidR="00177E91">
        <w:rPr>
          <w:rFonts w:cs="Arial"/>
        </w:rPr>
        <w:t>i</w:t>
      </w:r>
      <w:r>
        <w:rPr>
          <w:rFonts w:cs="Arial"/>
        </w:rPr>
        <w:t>tional funds to support that largest redevelopment in city history, downtown in the Merrimack Street area, returns Public Improvements as a funding priority. </w:t>
      </w:r>
    </w:p>
    <w:p w14:paraId="017C9A5C" w14:textId="77777777" w:rsidR="000B4D04" w:rsidRDefault="00B90386">
      <w:pPr>
        <w:keepNext/>
        <w:widowControl w:val="0"/>
        <w:spacing w:beforeAutospacing="1" w:afterAutospacing="1"/>
        <w:rPr>
          <w:rFonts w:cs="Arial"/>
          <w:szCs w:val="24"/>
        </w:rPr>
      </w:pPr>
      <w:r>
        <w:rPr>
          <w:rFonts w:cs="Arial"/>
        </w:rPr>
        <w:t>The CDBG share of enhanced Code Enforcement efforts continues to decline post-Pandemic as well.  Public Services (15% plus prior year Program Income) and Administration figures (20%) are kept within statutory limits. </w:t>
      </w:r>
    </w:p>
    <w:p w14:paraId="243A7E09" w14:textId="11432A25" w:rsidR="000B4D04" w:rsidRDefault="00B90386">
      <w:pPr>
        <w:keepNext/>
        <w:widowControl w:val="0"/>
        <w:spacing w:beforeAutospacing="1" w:afterAutospacing="1"/>
        <w:rPr>
          <w:rFonts w:cs="Arial"/>
          <w:szCs w:val="24"/>
        </w:rPr>
      </w:pPr>
      <w:r>
        <w:rPr>
          <w:rFonts w:cs="Arial"/>
        </w:rPr>
        <w:t xml:space="preserve">Housing creation is the main underserved need, due to obstacles of funding, regulations and political/neighborhood will.  Not included in these numbers is a project by the YMCA to construct </w:t>
      </w:r>
      <w:r>
        <w:rPr>
          <w:rFonts w:cs="Arial"/>
        </w:rPr>
        <w:lastRenderedPageBreak/>
        <w:t>around 24 multi-unit housing for very low-income (below 30% Area Median Income) families onto their current facility on Winter Street.  The YMCA is actively seeking to create a new YMCA facility and convert its existing property into badly-needed family housing units.  Similarly, the Haverhill Housing Authority [HHA] is planning to build a 34 units extension onto its Hilldale Avenue property, as well as rehabilitation of a vacant 4-unit property at 335 Groveland Street in Riverside.  This represents the HHA</w:t>
      </w:r>
      <w:r>
        <w:rPr>
          <w:rFonts w:cs="Arial"/>
        </w:rPr>
        <w:t xml:space="preserve">'s first new housing units in over four decades.  Similarly, construction of a new Boys and Girls Club on former State highway land along Monument Street is an unfunded City need and </w:t>
      </w:r>
      <w:r w:rsidR="00177E91">
        <w:rPr>
          <w:rFonts w:cs="Arial"/>
        </w:rPr>
        <w:t>wish list</w:t>
      </w:r>
      <w:r>
        <w:rPr>
          <w:rFonts w:cs="Arial"/>
        </w:rPr>
        <w:t xml:space="preserve"> item.</w:t>
      </w:r>
    </w:p>
    <w:p w14:paraId="7301E51A" w14:textId="77777777" w:rsidR="000B4D04" w:rsidRDefault="00B90386">
      <w:pPr>
        <w:keepNext/>
        <w:widowControl w:val="0"/>
        <w:spacing w:beforeAutospacing="1" w:afterAutospacing="1"/>
        <w:rPr>
          <w:rFonts w:cs="Arial"/>
          <w:szCs w:val="24"/>
        </w:rPr>
      </w:pPr>
      <w:r>
        <w:rPr>
          <w:rFonts w:cs="Arial"/>
        </w:rPr>
        <w:t>Other potential HOME projects are to be determined, based on federal funding uncertainty.</w:t>
      </w:r>
    </w:p>
    <w:p w14:paraId="2ABF06E0" w14:textId="77777777" w:rsidR="000B4D04" w:rsidRDefault="000B4D04">
      <w:pPr>
        <w:rPr>
          <w:rFonts w:cs="Arial"/>
        </w:rPr>
        <w:sectPr w:rsidR="000B4D04">
          <w:pgSz w:w="12240" w:h="15840" w:code="1"/>
          <w:pgMar w:top="1440" w:right="1440" w:bottom="1440" w:left="1440" w:header="720" w:footer="720" w:gutter="0"/>
          <w:cols w:space="720"/>
          <w:docGrid w:linePitch="360"/>
        </w:sectPr>
      </w:pPr>
    </w:p>
    <w:p w14:paraId="7D779B4F" w14:textId="77777777" w:rsidR="000B4D04" w:rsidRDefault="00B90386">
      <w:pPr>
        <w:pStyle w:val="Heading2"/>
        <w:rPr>
          <w:rFonts w:ascii="Calibri" w:hAnsi="Calibri"/>
          <w:i w:val="0"/>
        </w:rPr>
      </w:pPr>
      <w:r>
        <w:rPr>
          <w:rFonts w:ascii="Calibri" w:hAnsi="Calibri"/>
          <w:i w:val="0"/>
        </w:rPr>
        <w:lastRenderedPageBreak/>
        <w:t>AP-38 Project Summary</w:t>
      </w:r>
    </w:p>
    <w:p w14:paraId="708E2107" w14:textId="77777777" w:rsidR="000B4D04" w:rsidRDefault="00B90386">
      <w:pPr>
        <w:keepNext/>
        <w:widowControl w:val="0"/>
        <w:rPr>
          <w:b/>
          <w:sz w:val="24"/>
          <w:szCs w:val="24"/>
        </w:rPr>
      </w:pPr>
      <w:r>
        <w:rPr>
          <w:b/>
          <w:sz w:val="24"/>
          <w:szCs w:val="24"/>
        </w:rPr>
        <w:t>Project Summary Information</w:t>
      </w:r>
    </w:p>
    <w:p w14:paraId="17960926" w14:textId="77777777" w:rsidR="000B4D04" w:rsidRDefault="000B4D04">
      <w:pPr>
        <w:pStyle w:val="Heading2"/>
        <w:pageBreakBefore/>
        <w:rPr>
          <w:rFonts w:asciiTheme="minorHAnsi" w:hAnsiTheme="minorHAnsi"/>
          <w:i w:val="0"/>
        </w:rPr>
        <w:sectPr w:rsidR="000B4D04">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245"/>
        <w:gridCol w:w="6665"/>
      </w:tblGrid>
      <w:tr w:rsidR="000B4D04" w14:paraId="0D6971A1" w14:textId="77777777">
        <w:trPr>
          <w:cantSplit/>
        </w:trPr>
        <w:tc>
          <w:tcPr>
            <w:tcW w:w="0" w:type="auto"/>
            <w:vMerge w:val="restart"/>
          </w:tcPr>
          <w:p w14:paraId="71E9B72A" w14:textId="77777777" w:rsidR="000B4D04" w:rsidRDefault="00B90386">
            <w:r>
              <w:rPr>
                <w:b/>
              </w:rPr>
              <w:lastRenderedPageBreak/>
              <w:t>1</w:t>
            </w:r>
          </w:p>
        </w:tc>
        <w:tc>
          <w:tcPr>
            <w:tcW w:w="0" w:type="auto"/>
          </w:tcPr>
          <w:p w14:paraId="2E24C796" w14:textId="77777777" w:rsidR="000B4D04" w:rsidRDefault="00B90386">
            <w:pPr>
              <w:keepNext/>
              <w:spacing w:before="100" w:after="0"/>
              <w:rPr>
                <w:b/>
              </w:rPr>
            </w:pPr>
            <w:r>
              <w:rPr>
                <w:b/>
              </w:rPr>
              <w:t>Project Name</w:t>
            </w:r>
          </w:p>
        </w:tc>
        <w:tc>
          <w:tcPr>
            <w:tcW w:w="0" w:type="auto"/>
          </w:tcPr>
          <w:p w14:paraId="54098CC0" w14:textId="77777777" w:rsidR="000B4D04" w:rsidRDefault="00B90386">
            <w:pPr>
              <w:spacing w:before="100" w:after="0"/>
            </w:pPr>
            <w:r>
              <w:rPr>
                <w:color w:val="000000"/>
              </w:rPr>
              <w:t>General Administration + Planning</w:t>
            </w:r>
          </w:p>
        </w:tc>
      </w:tr>
      <w:tr w:rsidR="000B4D04" w14:paraId="78FC11E5" w14:textId="77777777">
        <w:trPr>
          <w:cantSplit/>
        </w:trPr>
        <w:tc>
          <w:tcPr>
            <w:tcW w:w="0" w:type="auto"/>
            <w:vMerge/>
          </w:tcPr>
          <w:p w14:paraId="2138D2BB" w14:textId="77777777" w:rsidR="000B4D04" w:rsidRDefault="000B4D04"/>
        </w:tc>
        <w:tc>
          <w:tcPr>
            <w:tcW w:w="0" w:type="auto"/>
          </w:tcPr>
          <w:p w14:paraId="1BF90DFA" w14:textId="77777777" w:rsidR="000B4D04" w:rsidRDefault="00B90386">
            <w:pPr>
              <w:keepNext/>
              <w:spacing w:before="100" w:after="0"/>
              <w:rPr>
                <w:b/>
              </w:rPr>
            </w:pPr>
            <w:r>
              <w:rPr>
                <w:b/>
              </w:rPr>
              <w:t>Target Area</w:t>
            </w:r>
          </w:p>
        </w:tc>
        <w:tc>
          <w:tcPr>
            <w:tcW w:w="0" w:type="auto"/>
          </w:tcPr>
          <w:p w14:paraId="3C99F295" w14:textId="77777777" w:rsidR="000B4D04" w:rsidRDefault="00B90386">
            <w:pPr>
              <w:spacing w:before="100" w:after="0"/>
            </w:pPr>
            <w:r>
              <w:rPr>
                <w:color w:val="000000"/>
              </w:rPr>
              <w:t>CDBG TARGET AREA</w:t>
            </w:r>
            <w:r>
              <w:rPr>
                <w:color w:val="000000"/>
              </w:rPr>
              <w:br/>
              <w:t>Lower Acre NRSA</w:t>
            </w:r>
            <w:r>
              <w:rPr>
                <w:color w:val="000000"/>
              </w:rPr>
              <w:br/>
              <w:t>Mount Washington NRSA</w:t>
            </w:r>
          </w:p>
        </w:tc>
      </w:tr>
      <w:tr w:rsidR="000B4D04" w14:paraId="642DCD0A" w14:textId="77777777">
        <w:trPr>
          <w:cantSplit/>
        </w:trPr>
        <w:tc>
          <w:tcPr>
            <w:tcW w:w="0" w:type="auto"/>
            <w:vMerge/>
          </w:tcPr>
          <w:p w14:paraId="7947813D" w14:textId="77777777" w:rsidR="000B4D04" w:rsidRDefault="000B4D04"/>
        </w:tc>
        <w:tc>
          <w:tcPr>
            <w:tcW w:w="0" w:type="auto"/>
          </w:tcPr>
          <w:p w14:paraId="4735F586" w14:textId="77777777" w:rsidR="000B4D04" w:rsidRDefault="00B90386">
            <w:pPr>
              <w:keepNext/>
              <w:spacing w:before="100" w:after="0"/>
              <w:rPr>
                <w:b/>
              </w:rPr>
            </w:pPr>
            <w:r>
              <w:rPr>
                <w:b/>
              </w:rPr>
              <w:t>Goals Supported</w:t>
            </w:r>
          </w:p>
        </w:tc>
        <w:tc>
          <w:tcPr>
            <w:tcW w:w="0" w:type="auto"/>
          </w:tcPr>
          <w:p w14:paraId="7C18F2F6" w14:textId="77777777" w:rsidR="000B4D04" w:rsidRDefault="00B90386">
            <w:pPr>
              <w:spacing w:before="100" w:after="0"/>
            </w:pPr>
            <w:r>
              <w:rPr>
                <w:color w:val="000000"/>
              </w:rPr>
              <w:t>Maintain Housing Stock</w:t>
            </w:r>
            <w:r>
              <w:rPr>
                <w:color w:val="000000"/>
              </w:rPr>
              <w:br/>
              <w:t>Provide Shelter and Services for Homeless</w:t>
            </w:r>
            <w:r>
              <w:rPr>
                <w:color w:val="000000"/>
              </w:rPr>
              <w:br/>
            </w:r>
            <w:r>
              <w:rPr>
                <w:color w:val="000000"/>
              </w:rPr>
              <w:t>Provide other non-housing necessities</w:t>
            </w:r>
            <w:r>
              <w:rPr>
                <w:color w:val="000000"/>
              </w:rPr>
              <w:br/>
              <w:t>Promote Neighborhood-Based Economic Development</w:t>
            </w:r>
            <w:r>
              <w:rPr>
                <w:color w:val="000000"/>
              </w:rPr>
              <w:br/>
              <w:t>Stabilize Neighborhoods + Increase Owner-Occupancy</w:t>
            </w:r>
          </w:p>
        </w:tc>
      </w:tr>
      <w:tr w:rsidR="000B4D04" w14:paraId="241D64E8" w14:textId="77777777">
        <w:trPr>
          <w:cantSplit/>
        </w:trPr>
        <w:tc>
          <w:tcPr>
            <w:tcW w:w="0" w:type="auto"/>
            <w:vMerge/>
          </w:tcPr>
          <w:p w14:paraId="4C1FD445" w14:textId="77777777" w:rsidR="000B4D04" w:rsidRDefault="000B4D04"/>
        </w:tc>
        <w:tc>
          <w:tcPr>
            <w:tcW w:w="0" w:type="auto"/>
          </w:tcPr>
          <w:p w14:paraId="7C1F3A86" w14:textId="77777777" w:rsidR="000B4D04" w:rsidRDefault="00B90386">
            <w:pPr>
              <w:keepNext/>
              <w:spacing w:before="100" w:after="0"/>
              <w:rPr>
                <w:b/>
              </w:rPr>
            </w:pPr>
            <w:r>
              <w:rPr>
                <w:b/>
              </w:rPr>
              <w:t>Needs Addressed</w:t>
            </w:r>
          </w:p>
        </w:tc>
        <w:tc>
          <w:tcPr>
            <w:tcW w:w="0" w:type="auto"/>
          </w:tcPr>
          <w:p w14:paraId="55151041" w14:textId="77777777" w:rsidR="000B4D04" w:rsidRDefault="00B90386">
            <w:pPr>
              <w:spacing w:before="100" w:after="0"/>
            </w:pPr>
            <w:r>
              <w:rPr>
                <w:color w:val="000000"/>
              </w:rPr>
              <w:t>Maintain, Preserve and Improve Housing Stock</w:t>
            </w:r>
            <w:r>
              <w:rPr>
                <w:color w:val="000000"/>
              </w:rPr>
              <w:br/>
              <w:t>Expand Type, Diversity and Supply of Housing</w:t>
            </w:r>
            <w:r>
              <w:rPr>
                <w:color w:val="000000"/>
              </w:rPr>
              <w:br/>
              <w:t>Provide Basic Shelter and Services for Homeless</w:t>
            </w:r>
            <w:r>
              <w:rPr>
                <w:color w:val="000000"/>
              </w:rPr>
              <w:br/>
              <w:t>Increase Owner-Occupancy in Target Neighborhoods</w:t>
            </w:r>
            <w:r>
              <w:rPr>
                <w:color w:val="000000"/>
              </w:rPr>
              <w:br/>
              <w:t>Enhance Public Safety and Health</w:t>
            </w:r>
            <w:r>
              <w:rPr>
                <w:color w:val="000000"/>
              </w:rPr>
              <w:br/>
              <w:t>Provide for Non-Housing-related Basic Needs</w:t>
            </w:r>
            <w:r>
              <w:rPr>
                <w:color w:val="000000"/>
              </w:rPr>
              <w:br/>
              <w:t>Encourage Economic + Workforce Development</w:t>
            </w:r>
            <w:r>
              <w:rPr>
                <w:color w:val="000000"/>
              </w:rPr>
              <w:br/>
              <w:t>Promote Neighborhood Stabilization</w:t>
            </w:r>
            <w:r>
              <w:rPr>
                <w:color w:val="000000"/>
              </w:rPr>
              <w:br/>
              <w:t>Connection to Resources and Economic Opportunities</w:t>
            </w:r>
          </w:p>
        </w:tc>
      </w:tr>
      <w:tr w:rsidR="000B4D04" w14:paraId="1818D5DC" w14:textId="77777777">
        <w:trPr>
          <w:cantSplit/>
        </w:trPr>
        <w:tc>
          <w:tcPr>
            <w:tcW w:w="0" w:type="auto"/>
            <w:vMerge/>
          </w:tcPr>
          <w:p w14:paraId="16B4E336" w14:textId="77777777" w:rsidR="000B4D04" w:rsidRDefault="000B4D04"/>
        </w:tc>
        <w:tc>
          <w:tcPr>
            <w:tcW w:w="0" w:type="auto"/>
          </w:tcPr>
          <w:p w14:paraId="347D5AAC" w14:textId="77777777" w:rsidR="000B4D04" w:rsidRDefault="00B90386">
            <w:pPr>
              <w:keepNext/>
              <w:spacing w:before="100" w:after="0"/>
              <w:rPr>
                <w:b/>
              </w:rPr>
            </w:pPr>
            <w:r>
              <w:rPr>
                <w:b/>
              </w:rPr>
              <w:t>Funding</w:t>
            </w:r>
          </w:p>
        </w:tc>
        <w:tc>
          <w:tcPr>
            <w:tcW w:w="0" w:type="auto"/>
          </w:tcPr>
          <w:p w14:paraId="480C39F9" w14:textId="77777777" w:rsidR="000B4D04" w:rsidRDefault="00B90386">
            <w:pPr>
              <w:spacing w:before="100" w:after="0"/>
            </w:pPr>
            <w:r>
              <w:rPr>
                <w:color w:val="000000"/>
              </w:rPr>
              <w:t>CDBG: $183,555.00</w:t>
            </w:r>
          </w:p>
        </w:tc>
      </w:tr>
      <w:tr w:rsidR="000B4D04" w14:paraId="3AD02F67" w14:textId="77777777">
        <w:trPr>
          <w:cantSplit/>
        </w:trPr>
        <w:tc>
          <w:tcPr>
            <w:tcW w:w="0" w:type="auto"/>
            <w:vMerge/>
          </w:tcPr>
          <w:p w14:paraId="0BD10894" w14:textId="77777777" w:rsidR="000B4D04" w:rsidRDefault="000B4D04"/>
        </w:tc>
        <w:tc>
          <w:tcPr>
            <w:tcW w:w="0" w:type="auto"/>
          </w:tcPr>
          <w:p w14:paraId="6D42DD52" w14:textId="77777777" w:rsidR="000B4D04" w:rsidRDefault="00B90386">
            <w:pPr>
              <w:keepNext/>
              <w:spacing w:before="100" w:after="0"/>
              <w:rPr>
                <w:b/>
              </w:rPr>
            </w:pPr>
            <w:r>
              <w:rPr>
                <w:b/>
              </w:rPr>
              <w:t>Description</w:t>
            </w:r>
          </w:p>
        </w:tc>
        <w:tc>
          <w:tcPr>
            <w:tcW w:w="0" w:type="auto"/>
          </w:tcPr>
          <w:p w14:paraId="39317E89" w14:textId="77777777" w:rsidR="000B4D04" w:rsidRDefault="00B90386">
            <w:pPr>
              <w:spacing w:before="100" w:after="0"/>
            </w:pPr>
            <w:r>
              <w:rPr>
                <w:color w:val="000000"/>
              </w:rPr>
              <w:t>This includes activities related to administration of the Community Development Block Grant (CDBG) itself.</w:t>
            </w:r>
          </w:p>
        </w:tc>
      </w:tr>
      <w:tr w:rsidR="000B4D04" w14:paraId="770BE76E" w14:textId="77777777">
        <w:trPr>
          <w:cantSplit/>
        </w:trPr>
        <w:tc>
          <w:tcPr>
            <w:tcW w:w="0" w:type="auto"/>
            <w:vMerge/>
          </w:tcPr>
          <w:p w14:paraId="5FB74FE4" w14:textId="77777777" w:rsidR="000B4D04" w:rsidRDefault="000B4D04"/>
        </w:tc>
        <w:tc>
          <w:tcPr>
            <w:tcW w:w="0" w:type="auto"/>
          </w:tcPr>
          <w:p w14:paraId="1680D6FD" w14:textId="77777777" w:rsidR="000B4D04" w:rsidRDefault="00B90386">
            <w:pPr>
              <w:keepNext/>
              <w:spacing w:before="100" w:after="0"/>
              <w:rPr>
                <w:b/>
              </w:rPr>
            </w:pPr>
            <w:r>
              <w:rPr>
                <w:b/>
              </w:rPr>
              <w:t>Target Date</w:t>
            </w:r>
          </w:p>
        </w:tc>
        <w:tc>
          <w:tcPr>
            <w:tcW w:w="0" w:type="auto"/>
          </w:tcPr>
          <w:p w14:paraId="67C476BC" w14:textId="77777777" w:rsidR="000B4D04" w:rsidRDefault="00B90386">
            <w:pPr>
              <w:spacing w:before="100" w:after="0"/>
            </w:pPr>
            <w:r>
              <w:rPr>
                <w:color w:val="000000"/>
              </w:rPr>
              <w:t>6/30/2026</w:t>
            </w:r>
          </w:p>
        </w:tc>
      </w:tr>
      <w:tr w:rsidR="000B4D04" w14:paraId="39E3BD70" w14:textId="77777777">
        <w:trPr>
          <w:cantSplit/>
        </w:trPr>
        <w:tc>
          <w:tcPr>
            <w:tcW w:w="0" w:type="auto"/>
            <w:vMerge/>
          </w:tcPr>
          <w:p w14:paraId="1EBA5EB3" w14:textId="77777777" w:rsidR="000B4D04" w:rsidRDefault="000B4D04"/>
        </w:tc>
        <w:tc>
          <w:tcPr>
            <w:tcW w:w="0" w:type="auto"/>
          </w:tcPr>
          <w:p w14:paraId="6ECFB6B1" w14:textId="77777777" w:rsidR="000B4D04" w:rsidRDefault="00B90386">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31A090F3" w14:textId="77777777" w:rsidR="000B4D04" w:rsidRDefault="00B90386">
            <w:pPr>
              <w:spacing w:before="100" w:after="0"/>
            </w:pPr>
            <w:r>
              <w:rPr>
                <w:color w:val="000000"/>
              </w:rPr>
              <w:t>In addition to general Program Administration, Community Development staff interface with hundreds of members of the public every program year, referring individuals and households to various services and programs.</w:t>
            </w:r>
          </w:p>
          <w:p w14:paraId="77E57C70" w14:textId="77777777" w:rsidR="000B4D04" w:rsidRDefault="00B90386">
            <w:pPr>
              <w:spacing w:before="100" w:after="0"/>
            </w:pPr>
            <w:r>
              <w:rPr>
                <w:color w:val="000000"/>
              </w:rPr>
              <w:t>This Project Budget is capped at no more than 20% of the overall Community Development Block Grant award that the City received in this given Program Year (2025).</w:t>
            </w:r>
          </w:p>
        </w:tc>
      </w:tr>
      <w:tr w:rsidR="000B4D04" w14:paraId="6873E690" w14:textId="77777777">
        <w:trPr>
          <w:cantSplit/>
        </w:trPr>
        <w:tc>
          <w:tcPr>
            <w:tcW w:w="0" w:type="auto"/>
            <w:vMerge/>
          </w:tcPr>
          <w:p w14:paraId="70E74920" w14:textId="77777777" w:rsidR="000B4D04" w:rsidRDefault="000B4D04"/>
        </w:tc>
        <w:tc>
          <w:tcPr>
            <w:tcW w:w="0" w:type="auto"/>
          </w:tcPr>
          <w:p w14:paraId="73ED4FDA" w14:textId="77777777" w:rsidR="000B4D04" w:rsidRDefault="00B90386">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721D4884" w14:textId="77777777" w:rsidR="000B4D04" w:rsidRDefault="00B90386">
            <w:pPr>
              <w:spacing w:before="100" w:after="0"/>
            </w:pPr>
            <w:r>
              <w:rPr>
                <w:color w:val="000000"/>
              </w:rPr>
              <w:t>Citywide, with activities based in Room #309 of Haverhill City Hall, 4 Summer Street, Haverhill, MA.</w:t>
            </w:r>
          </w:p>
        </w:tc>
      </w:tr>
      <w:tr w:rsidR="000B4D04" w14:paraId="187C1854" w14:textId="77777777">
        <w:trPr>
          <w:cantSplit/>
        </w:trPr>
        <w:tc>
          <w:tcPr>
            <w:tcW w:w="0" w:type="auto"/>
            <w:vMerge/>
          </w:tcPr>
          <w:p w14:paraId="416110D5" w14:textId="77777777" w:rsidR="000B4D04" w:rsidRDefault="000B4D04"/>
        </w:tc>
        <w:tc>
          <w:tcPr>
            <w:tcW w:w="0" w:type="auto"/>
          </w:tcPr>
          <w:p w14:paraId="43CF9225" w14:textId="77777777" w:rsidR="000B4D04" w:rsidRDefault="00B90386">
            <w:pPr>
              <w:keepNext/>
              <w:spacing w:before="100" w:after="0"/>
              <w:rPr>
                <w:rFonts w:asciiTheme="minorHAnsi" w:hAnsiTheme="minorHAnsi"/>
                <w:b/>
              </w:rPr>
            </w:pPr>
            <w:r>
              <w:rPr>
                <w:rStyle w:val="Strong"/>
                <w:rFonts w:asciiTheme="minorHAnsi" w:hAnsiTheme="minorHAnsi"/>
              </w:rPr>
              <w:t>Planned Activities</w:t>
            </w:r>
          </w:p>
        </w:tc>
        <w:tc>
          <w:tcPr>
            <w:tcW w:w="0" w:type="auto"/>
          </w:tcPr>
          <w:p w14:paraId="0D267C52" w14:textId="77777777" w:rsidR="000B4D04" w:rsidRDefault="00B90386">
            <w:pPr>
              <w:spacing w:before="100" w:after="0"/>
            </w:pPr>
            <w:r>
              <w:rPr>
                <w:color w:val="000000"/>
              </w:rPr>
              <w:t>Administration of the Community Development Block Grant program, including staff salaries, benefits and office supplies, as well as various planning activities undertaken by consultants.</w:t>
            </w:r>
          </w:p>
        </w:tc>
      </w:tr>
      <w:tr w:rsidR="000B4D04" w14:paraId="64211432" w14:textId="77777777">
        <w:trPr>
          <w:cantSplit/>
        </w:trPr>
        <w:tc>
          <w:tcPr>
            <w:tcW w:w="0" w:type="auto"/>
            <w:vMerge w:val="restart"/>
          </w:tcPr>
          <w:p w14:paraId="6BBE0D61" w14:textId="77777777" w:rsidR="000B4D04" w:rsidRDefault="00B90386">
            <w:r>
              <w:rPr>
                <w:b/>
              </w:rPr>
              <w:t>2</w:t>
            </w:r>
          </w:p>
        </w:tc>
        <w:tc>
          <w:tcPr>
            <w:tcW w:w="0" w:type="auto"/>
          </w:tcPr>
          <w:p w14:paraId="75142B49" w14:textId="77777777" w:rsidR="000B4D04" w:rsidRDefault="00B90386">
            <w:pPr>
              <w:keepNext/>
              <w:spacing w:before="100" w:after="0"/>
              <w:rPr>
                <w:b/>
              </w:rPr>
            </w:pPr>
            <w:r>
              <w:rPr>
                <w:b/>
              </w:rPr>
              <w:t>Project Name</w:t>
            </w:r>
          </w:p>
        </w:tc>
        <w:tc>
          <w:tcPr>
            <w:tcW w:w="0" w:type="auto"/>
          </w:tcPr>
          <w:p w14:paraId="21CD82D6" w14:textId="77777777" w:rsidR="000B4D04" w:rsidRDefault="00B90386">
            <w:pPr>
              <w:spacing w:before="100" w:after="0"/>
            </w:pPr>
            <w:r>
              <w:rPr>
                <w:color w:val="000000"/>
              </w:rPr>
              <w:t>REHABILITATION ADMINISTRATION</w:t>
            </w:r>
          </w:p>
        </w:tc>
      </w:tr>
      <w:tr w:rsidR="000B4D04" w14:paraId="28DFC2BD" w14:textId="77777777">
        <w:trPr>
          <w:cantSplit/>
        </w:trPr>
        <w:tc>
          <w:tcPr>
            <w:tcW w:w="0" w:type="auto"/>
            <w:vMerge/>
          </w:tcPr>
          <w:p w14:paraId="6410B4CD" w14:textId="77777777" w:rsidR="000B4D04" w:rsidRDefault="000B4D04"/>
        </w:tc>
        <w:tc>
          <w:tcPr>
            <w:tcW w:w="0" w:type="auto"/>
          </w:tcPr>
          <w:p w14:paraId="6FF5193A" w14:textId="77777777" w:rsidR="000B4D04" w:rsidRDefault="00B90386">
            <w:pPr>
              <w:keepNext/>
              <w:spacing w:before="100" w:after="0"/>
              <w:rPr>
                <w:b/>
              </w:rPr>
            </w:pPr>
            <w:r>
              <w:rPr>
                <w:b/>
              </w:rPr>
              <w:t>Target Area</w:t>
            </w:r>
          </w:p>
        </w:tc>
        <w:tc>
          <w:tcPr>
            <w:tcW w:w="0" w:type="auto"/>
          </w:tcPr>
          <w:p w14:paraId="28D5B078" w14:textId="77777777" w:rsidR="000B4D04" w:rsidRDefault="00B90386">
            <w:pPr>
              <w:spacing w:before="100" w:after="0"/>
            </w:pPr>
            <w:r>
              <w:rPr>
                <w:color w:val="000000"/>
              </w:rPr>
              <w:t>CDBG TARGET AREA</w:t>
            </w:r>
            <w:r>
              <w:rPr>
                <w:color w:val="000000"/>
              </w:rPr>
              <w:br/>
              <w:t>Lower Acre NRSA</w:t>
            </w:r>
            <w:r>
              <w:rPr>
                <w:color w:val="000000"/>
              </w:rPr>
              <w:br/>
              <w:t>Mount Washington NRSA</w:t>
            </w:r>
          </w:p>
        </w:tc>
      </w:tr>
      <w:tr w:rsidR="000B4D04" w14:paraId="6635DE08" w14:textId="77777777">
        <w:trPr>
          <w:cantSplit/>
        </w:trPr>
        <w:tc>
          <w:tcPr>
            <w:tcW w:w="0" w:type="auto"/>
            <w:vMerge/>
          </w:tcPr>
          <w:p w14:paraId="2B3E89A7" w14:textId="77777777" w:rsidR="000B4D04" w:rsidRDefault="000B4D04"/>
        </w:tc>
        <w:tc>
          <w:tcPr>
            <w:tcW w:w="0" w:type="auto"/>
          </w:tcPr>
          <w:p w14:paraId="19339FF7" w14:textId="77777777" w:rsidR="000B4D04" w:rsidRDefault="00B90386">
            <w:pPr>
              <w:keepNext/>
              <w:spacing w:before="100" w:after="0"/>
              <w:rPr>
                <w:b/>
              </w:rPr>
            </w:pPr>
            <w:r>
              <w:rPr>
                <w:b/>
              </w:rPr>
              <w:t>Goals Supported</w:t>
            </w:r>
          </w:p>
        </w:tc>
        <w:tc>
          <w:tcPr>
            <w:tcW w:w="0" w:type="auto"/>
          </w:tcPr>
          <w:p w14:paraId="6C8C8777" w14:textId="77777777" w:rsidR="000B4D04" w:rsidRDefault="00B90386">
            <w:pPr>
              <w:spacing w:before="100" w:after="0"/>
            </w:pPr>
            <w:r>
              <w:rPr>
                <w:color w:val="000000"/>
              </w:rPr>
              <w:t>Maintain Housing Stock</w:t>
            </w:r>
            <w:r>
              <w:rPr>
                <w:color w:val="000000"/>
              </w:rPr>
              <w:br/>
            </w:r>
            <w:r>
              <w:rPr>
                <w:color w:val="000000"/>
              </w:rPr>
              <w:t>Provide Shelter and Services for Homeless</w:t>
            </w:r>
            <w:r>
              <w:rPr>
                <w:color w:val="000000"/>
              </w:rPr>
              <w:br/>
              <w:t>Stabilize Neighborhoods + Increase Owner-Occupancy</w:t>
            </w:r>
          </w:p>
        </w:tc>
      </w:tr>
      <w:tr w:rsidR="000B4D04" w14:paraId="1C2E96B7" w14:textId="77777777">
        <w:trPr>
          <w:cantSplit/>
        </w:trPr>
        <w:tc>
          <w:tcPr>
            <w:tcW w:w="0" w:type="auto"/>
            <w:vMerge/>
          </w:tcPr>
          <w:p w14:paraId="3B93D836" w14:textId="77777777" w:rsidR="000B4D04" w:rsidRDefault="000B4D04"/>
        </w:tc>
        <w:tc>
          <w:tcPr>
            <w:tcW w:w="0" w:type="auto"/>
          </w:tcPr>
          <w:p w14:paraId="31DA5A66" w14:textId="77777777" w:rsidR="000B4D04" w:rsidRDefault="00B90386">
            <w:pPr>
              <w:keepNext/>
              <w:spacing w:before="100" w:after="0"/>
              <w:rPr>
                <w:b/>
              </w:rPr>
            </w:pPr>
            <w:r>
              <w:rPr>
                <w:b/>
              </w:rPr>
              <w:t>Needs Addressed</w:t>
            </w:r>
          </w:p>
        </w:tc>
        <w:tc>
          <w:tcPr>
            <w:tcW w:w="0" w:type="auto"/>
          </w:tcPr>
          <w:p w14:paraId="20CAB92C" w14:textId="77777777" w:rsidR="000B4D04" w:rsidRDefault="00B90386">
            <w:pPr>
              <w:spacing w:before="100" w:after="0"/>
            </w:pPr>
            <w:r>
              <w:rPr>
                <w:color w:val="000000"/>
              </w:rPr>
              <w:t>Maintain, Preserve and Improve Housing Stock</w:t>
            </w:r>
            <w:r>
              <w:rPr>
                <w:color w:val="000000"/>
              </w:rPr>
              <w:br/>
              <w:t>Expand Type, Diversity and Supply of Housing</w:t>
            </w:r>
            <w:r>
              <w:rPr>
                <w:color w:val="000000"/>
              </w:rPr>
              <w:br/>
              <w:t>Increase Owner-Occupancy in Target Neighborhoods</w:t>
            </w:r>
            <w:r>
              <w:rPr>
                <w:color w:val="000000"/>
              </w:rPr>
              <w:br/>
              <w:t>Enhance Public Safety and Health</w:t>
            </w:r>
            <w:r>
              <w:rPr>
                <w:color w:val="000000"/>
              </w:rPr>
              <w:br/>
              <w:t>Promote Neighborhood Stabilization</w:t>
            </w:r>
          </w:p>
        </w:tc>
      </w:tr>
      <w:tr w:rsidR="000B4D04" w14:paraId="625485A0" w14:textId="77777777">
        <w:trPr>
          <w:cantSplit/>
        </w:trPr>
        <w:tc>
          <w:tcPr>
            <w:tcW w:w="0" w:type="auto"/>
            <w:vMerge/>
          </w:tcPr>
          <w:p w14:paraId="4258BA21" w14:textId="77777777" w:rsidR="000B4D04" w:rsidRDefault="000B4D04"/>
        </w:tc>
        <w:tc>
          <w:tcPr>
            <w:tcW w:w="0" w:type="auto"/>
          </w:tcPr>
          <w:p w14:paraId="60E9610C" w14:textId="77777777" w:rsidR="000B4D04" w:rsidRDefault="00B90386">
            <w:pPr>
              <w:keepNext/>
              <w:spacing w:before="100" w:after="0"/>
              <w:rPr>
                <w:b/>
              </w:rPr>
            </w:pPr>
            <w:r>
              <w:rPr>
                <w:b/>
              </w:rPr>
              <w:t>Funding</w:t>
            </w:r>
          </w:p>
        </w:tc>
        <w:tc>
          <w:tcPr>
            <w:tcW w:w="0" w:type="auto"/>
          </w:tcPr>
          <w:p w14:paraId="743CFA20" w14:textId="77777777" w:rsidR="000B4D04" w:rsidRDefault="00B90386">
            <w:pPr>
              <w:spacing w:before="100" w:after="0"/>
            </w:pPr>
            <w:r>
              <w:rPr>
                <w:color w:val="000000"/>
              </w:rPr>
              <w:t>CDBG: $190,000.00</w:t>
            </w:r>
          </w:p>
        </w:tc>
      </w:tr>
      <w:tr w:rsidR="000B4D04" w14:paraId="1A79B898" w14:textId="77777777">
        <w:trPr>
          <w:cantSplit/>
        </w:trPr>
        <w:tc>
          <w:tcPr>
            <w:tcW w:w="0" w:type="auto"/>
            <w:vMerge/>
          </w:tcPr>
          <w:p w14:paraId="5F972975" w14:textId="77777777" w:rsidR="000B4D04" w:rsidRDefault="000B4D04"/>
        </w:tc>
        <w:tc>
          <w:tcPr>
            <w:tcW w:w="0" w:type="auto"/>
          </w:tcPr>
          <w:p w14:paraId="451E61A5" w14:textId="77777777" w:rsidR="000B4D04" w:rsidRDefault="00B90386">
            <w:pPr>
              <w:keepNext/>
              <w:spacing w:before="100" w:after="0"/>
              <w:rPr>
                <w:b/>
              </w:rPr>
            </w:pPr>
            <w:r>
              <w:rPr>
                <w:b/>
              </w:rPr>
              <w:t>Description</w:t>
            </w:r>
          </w:p>
        </w:tc>
        <w:tc>
          <w:tcPr>
            <w:tcW w:w="0" w:type="auto"/>
          </w:tcPr>
          <w:p w14:paraId="3994BF3F" w14:textId="591E82D2" w:rsidR="000B4D04" w:rsidRDefault="00B90386">
            <w:pPr>
              <w:spacing w:before="100" w:after="0"/>
            </w:pPr>
            <w:r>
              <w:rPr>
                <w:color w:val="000000"/>
              </w:rPr>
              <w:t xml:space="preserve">Administration of the in-house Housing Rehabilitation and Code Correction Program [HRCCP], along with oversight of CDBG First-Time Homebuyer Activities, Fair Housing, HOME and Get the Lead Out administration.  Rehab staff also </w:t>
            </w:r>
            <w:r w:rsidR="007F2FB7">
              <w:rPr>
                <w:color w:val="000000"/>
              </w:rPr>
              <w:t>provide</w:t>
            </w:r>
            <w:r>
              <w:rPr>
                <w:color w:val="000000"/>
              </w:rPr>
              <w:t xml:space="preserve"> housing referrals as necessary.</w:t>
            </w:r>
          </w:p>
        </w:tc>
      </w:tr>
      <w:tr w:rsidR="000B4D04" w14:paraId="77EAF60D" w14:textId="77777777">
        <w:trPr>
          <w:cantSplit/>
        </w:trPr>
        <w:tc>
          <w:tcPr>
            <w:tcW w:w="0" w:type="auto"/>
            <w:vMerge/>
          </w:tcPr>
          <w:p w14:paraId="4AAB577D" w14:textId="77777777" w:rsidR="000B4D04" w:rsidRDefault="000B4D04"/>
        </w:tc>
        <w:tc>
          <w:tcPr>
            <w:tcW w:w="0" w:type="auto"/>
          </w:tcPr>
          <w:p w14:paraId="2A484010" w14:textId="77777777" w:rsidR="000B4D04" w:rsidRDefault="00B90386">
            <w:pPr>
              <w:keepNext/>
              <w:spacing w:before="100" w:after="0"/>
              <w:rPr>
                <w:b/>
              </w:rPr>
            </w:pPr>
            <w:r>
              <w:rPr>
                <w:b/>
              </w:rPr>
              <w:t>Target Date</w:t>
            </w:r>
          </w:p>
        </w:tc>
        <w:tc>
          <w:tcPr>
            <w:tcW w:w="0" w:type="auto"/>
          </w:tcPr>
          <w:p w14:paraId="30CE5DA3" w14:textId="77777777" w:rsidR="000B4D04" w:rsidRDefault="00B90386">
            <w:pPr>
              <w:spacing w:before="100" w:after="0"/>
            </w:pPr>
            <w:r>
              <w:rPr>
                <w:color w:val="000000"/>
              </w:rPr>
              <w:t>6/30/2026</w:t>
            </w:r>
          </w:p>
        </w:tc>
      </w:tr>
      <w:tr w:rsidR="000B4D04" w14:paraId="59F7B9A2" w14:textId="77777777">
        <w:trPr>
          <w:cantSplit/>
        </w:trPr>
        <w:tc>
          <w:tcPr>
            <w:tcW w:w="0" w:type="auto"/>
            <w:vMerge/>
          </w:tcPr>
          <w:p w14:paraId="0BEE47A3" w14:textId="77777777" w:rsidR="000B4D04" w:rsidRDefault="000B4D04"/>
        </w:tc>
        <w:tc>
          <w:tcPr>
            <w:tcW w:w="0" w:type="auto"/>
          </w:tcPr>
          <w:p w14:paraId="4F3EF5E1" w14:textId="77777777" w:rsidR="000B4D04" w:rsidRDefault="00B90386">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3D6BA563" w14:textId="028DA2E9" w:rsidR="000B4D04" w:rsidRDefault="00B90386">
            <w:pPr>
              <w:spacing w:before="100" w:after="0"/>
            </w:pPr>
            <w:r>
              <w:rPr>
                <w:color w:val="000000"/>
              </w:rPr>
              <w:t xml:space="preserve">At least 42 households are anticipated to be supported by housing rehabilitation efforts administered in-house by Community Development staff, in particular the Housing Rehabilitation and Code Correction Program (HRCCP).  This upcoming year anticipates 36 units rehabilitated back to housing code standards, with an additional 6 units rehabilitated by Rebuilding Together Greater Haverhill.  Housing rehab staff also administer MassHousing' s 'Get the Lead Out' </w:t>
            </w:r>
            <w:r>
              <w:rPr>
                <w:color w:val="000000"/>
              </w:rPr>
              <w:t>de-leading program locally (4 projects estimated).  Housing rehab staff are also involved in administration of First-Time Homebuyer programs, vacant property registration, fair housing and other housing initiatives.  </w:t>
            </w:r>
          </w:p>
          <w:p w14:paraId="65B488FA" w14:textId="77777777" w:rsidR="000B4D04" w:rsidRDefault="00B90386">
            <w:pPr>
              <w:spacing w:before="100" w:after="0"/>
            </w:pPr>
            <w:r>
              <w:rPr>
                <w:color w:val="000000"/>
              </w:rPr>
              <w:t>An estimated 6 additional low-moderate income households are anticipated to benefit from lead water line replacement through CDBG housing rehab funds being used in coordination with Haverhill Water Department efforts to undertake this lead pipe removal mandate.</w:t>
            </w:r>
          </w:p>
        </w:tc>
      </w:tr>
      <w:tr w:rsidR="000B4D04" w14:paraId="2C5D6B3F" w14:textId="77777777">
        <w:trPr>
          <w:cantSplit/>
        </w:trPr>
        <w:tc>
          <w:tcPr>
            <w:tcW w:w="0" w:type="auto"/>
            <w:vMerge/>
          </w:tcPr>
          <w:p w14:paraId="0F995B63" w14:textId="77777777" w:rsidR="000B4D04" w:rsidRDefault="000B4D04"/>
        </w:tc>
        <w:tc>
          <w:tcPr>
            <w:tcW w:w="0" w:type="auto"/>
          </w:tcPr>
          <w:p w14:paraId="0953AF26" w14:textId="77777777" w:rsidR="000B4D04" w:rsidRDefault="00B90386">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6A72F189" w14:textId="77777777" w:rsidR="000B4D04" w:rsidRDefault="00B90386">
            <w:pPr>
              <w:spacing w:before="100" w:after="0"/>
            </w:pPr>
            <w:r>
              <w:rPr>
                <w:color w:val="000000"/>
              </w:rPr>
              <w:t>Housing rehabilitation activities occur predominantly in the Community Development Block Grant (CDBG) Target Area, but some HRCCP activities do occur outside these Census tracts.  Exact addresses are not known at the beginning of the program year.  A tier-review style Environmental Review will be conducted for housing rehabilitation at the general level, with exact locations to be determined based on the HRCCP applications that are received.  </w:t>
            </w:r>
          </w:p>
          <w:p w14:paraId="56A8FF77" w14:textId="77777777" w:rsidR="000B4D04" w:rsidRDefault="00B90386">
            <w:pPr>
              <w:spacing w:before="100" w:after="0"/>
            </w:pPr>
            <w:r>
              <w:rPr>
                <w:color w:val="000000"/>
              </w:rPr>
              <w:t>Target Area locations will be prioritized as much as possible, especially with aggressive overall CDBG goals for spending funds inside the Target Area. </w:t>
            </w:r>
          </w:p>
        </w:tc>
      </w:tr>
      <w:tr w:rsidR="000B4D04" w14:paraId="5879F84E" w14:textId="77777777">
        <w:trPr>
          <w:cantSplit/>
        </w:trPr>
        <w:tc>
          <w:tcPr>
            <w:tcW w:w="0" w:type="auto"/>
            <w:vMerge/>
          </w:tcPr>
          <w:p w14:paraId="16E822C3" w14:textId="77777777" w:rsidR="000B4D04" w:rsidRDefault="000B4D04"/>
        </w:tc>
        <w:tc>
          <w:tcPr>
            <w:tcW w:w="0" w:type="auto"/>
          </w:tcPr>
          <w:p w14:paraId="628A4245" w14:textId="77777777" w:rsidR="000B4D04" w:rsidRDefault="00B90386">
            <w:pPr>
              <w:keepNext/>
              <w:spacing w:before="100" w:after="0"/>
              <w:rPr>
                <w:rFonts w:asciiTheme="minorHAnsi" w:hAnsiTheme="minorHAnsi"/>
                <w:b/>
              </w:rPr>
            </w:pPr>
            <w:r>
              <w:rPr>
                <w:rStyle w:val="Strong"/>
                <w:rFonts w:asciiTheme="minorHAnsi" w:hAnsiTheme="minorHAnsi"/>
              </w:rPr>
              <w:t>Planned Activities</w:t>
            </w:r>
          </w:p>
        </w:tc>
        <w:tc>
          <w:tcPr>
            <w:tcW w:w="0" w:type="auto"/>
          </w:tcPr>
          <w:p w14:paraId="6D1D2A14" w14:textId="77777777" w:rsidR="000B4D04" w:rsidRDefault="00B90386">
            <w:pPr>
              <w:spacing w:before="100" w:after="0"/>
            </w:pPr>
            <w:r>
              <w:rPr>
                <w:color w:val="000000"/>
              </w:rPr>
              <w:t>Planned activities include administration of the in-house Housing Rehabilitation and Code Correction Program (HRCCP), First-Time Homebuyer and Get the Lead Out programs.  Housing rehab administrative efforts also interact closely with the City's Lead Hazards Reduction Capacity Building Grant efforts.</w:t>
            </w:r>
          </w:p>
          <w:p w14:paraId="12E43961" w14:textId="77777777" w:rsidR="000B4D04" w:rsidRDefault="00B90386">
            <w:pPr>
              <w:spacing w:before="100" w:after="0"/>
            </w:pPr>
            <w:r>
              <w:rPr>
                <w:color w:val="000000"/>
              </w:rPr>
              <w:t>In addition, working closely with the Haverhill Water Department, Housing Rehab staff will administer removal of lead or galvanized water lines for low-moderate income homeowners identified by the City and thus recipients of targeted outreach efforts.</w:t>
            </w:r>
          </w:p>
        </w:tc>
      </w:tr>
      <w:tr w:rsidR="000B4D04" w14:paraId="6DCD4E92" w14:textId="77777777">
        <w:trPr>
          <w:cantSplit/>
        </w:trPr>
        <w:tc>
          <w:tcPr>
            <w:tcW w:w="0" w:type="auto"/>
            <w:vMerge w:val="restart"/>
          </w:tcPr>
          <w:p w14:paraId="5A37BFC5" w14:textId="77777777" w:rsidR="000B4D04" w:rsidRDefault="00B90386">
            <w:r>
              <w:rPr>
                <w:b/>
              </w:rPr>
              <w:t>3</w:t>
            </w:r>
          </w:p>
        </w:tc>
        <w:tc>
          <w:tcPr>
            <w:tcW w:w="0" w:type="auto"/>
          </w:tcPr>
          <w:p w14:paraId="27C4D6F0" w14:textId="77777777" w:rsidR="000B4D04" w:rsidRDefault="00B90386">
            <w:pPr>
              <w:keepNext/>
              <w:spacing w:before="100" w:after="0"/>
              <w:rPr>
                <w:b/>
              </w:rPr>
            </w:pPr>
            <w:r>
              <w:rPr>
                <w:b/>
              </w:rPr>
              <w:t>Project Name</w:t>
            </w:r>
          </w:p>
        </w:tc>
        <w:tc>
          <w:tcPr>
            <w:tcW w:w="0" w:type="auto"/>
          </w:tcPr>
          <w:p w14:paraId="45767E05" w14:textId="77777777" w:rsidR="000B4D04" w:rsidRDefault="00B90386">
            <w:pPr>
              <w:spacing w:before="100" w:after="0"/>
            </w:pPr>
            <w:r>
              <w:rPr>
                <w:color w:val="000000"/>
              </w:rPr>
              <w:t>CODE ENFORCEMENT</w:t>
            </w:r>
          </w:p>
        </w:tc>
      </w:tr>
      <w:tr w:rsidR="000B4D04" w14:paraId="64CBE260" w14:textId="77777777">
        <w:trPr>
          <w:cantSplit/>
        </w:trPr>
        <w:tc>
          <w:tcPr>
            <w:tcW w:w="0" w:type="auto"/>
            <w:vMerge/>
          </w:tcPr>
          <w:p w14:paraId="784C1F30" w14:textId="77777777" w:rsidR="000B4D04" w:rsidRDefault="000B4D04"/>
        </w:tc>
        <w:tc>
          <w:tcPr>
            <w:tcW w:w="0" w:type="auto"/>
          </w:tcPr>
          <w:p w14:paraId="1B5560DC" w14:textId="77777777" w:rsidR="000B4D04" w:rsidRDefault="00B90386">
            <w:pPr>
              <w:keepNext/>
              <w:spacing w:before="100" w:after="0"/>
              <w:rPr>
                <w:b/>
              </w:rPr>
            </w:pPr>
            <w:r>
              <w:rPr>
                <w:b/>
              </w:rPr>
              <w:t>Target Area</w:t>
            </w:r>
          </w:p>
        </w:tc>
        <w:tc>
          <w:tcPr>
            <w:tcW w:w="0" w:type="auto"/>
          </w:tcPr>
          <w:p w14:paraId="3571AB78" w14:textId="77777777" w:rsidR="000B4D04" w:rsidRDefault="00B90386">
            <w:pPr>
              <w:spacing w:before="100" w:after="0"/>
            </w:pPr>
            <w:r>
              <w:rPr>
                <w:color w:val="000000"/>
              </w:rPr>
              <w:t>CDBG TARGET AREA</w:t>
            </w:r>
            <w:r>
              <w:rPr>
                <w:color w:val="000000"/>
              </w:rPr>
              <w:br/>
              <w:t>Lower Acre NRSA</w:t>
            </w:r>
            <w:r>
              <w:rPr>
                <w:color w:val="000000"/>
              </w:rPr>
              <w:br/>
            </w:r>
            <w:r>
              <w:rPr>
                <w:color w:val="000000"/>
              </w:rPr>
              <w:t>Mount Washington NRSA</w:t>
            </w:r>
          </w:p>
        </w:tc>
      </w:tr>
      <w:tr w:rsidR="000B4D04" w14:paraId="6A24C664" w14:textId="77777777">
        <w:trPr>
          <w:cantSplit/>
        </w:trPr>
        <w:tc>
          <w:tcPr>
            <w:tcW w:w="0" w:type="auto"/>
            <w:vMerge/>
          </w:tcPr>
          <w:p w14:paraId="7CB85729" w14:textId="77777777" w:rsidR="000B4D04" w:rsidRDefault="000B4D04"/>
        </w:tc>
        <w:tc>
          <w:tcPr>
            <w:tcW w:w="0" w:type="auto"/>
          </w:tcPr>
          <w:p w14:paraId="46F4BB60" w14:textId="77777777" w:rsidR="000B4D04" w:rsidRDefault="00B90386">
            <w:pPr>
              <w:keepNext/>
              <w:spacing w:before="100" w:after="0"/>
              <w:rPr>
                <w:b/>
              </w:rPr>
            </w:pPr>
            <w:r>
              <w:rPr>
                <w:b/>
              </w:rPr>
              <w:t>Goals Supported</w:t>
            </w:r>
          </w:p>
        </w:tc>
        <w:tc>
          <w:tcPr>
            <w:tcW w:w="0" w:type="auto"/>
          </w:tcPr>
          <w:p w14:paraId="35C538E7" w14:textId="77777777" w:rsidR="000B4D04" w:rsidRDefault="00B90386">
            <w:pPr>
              <w:spacing w:before="100" w:after="0"/>
            </w:pPr>
            <w:r>
              <w:rPr>
                <w:color w:val="000000"/>
              </w:rPr>
              <w:t>Maintain Housing Stock</w:t>
            </w:r>
            <w:r>
              <w:rPr>
                <w:color w:val="000000"/>
              </w:rPr>
              <w:br/>
              <w:t>Promote Neighborhood-Based Economic Development</w:t>
            </w:r>
            <w:r>
              <w:rPr>
                <w:color w:val="000000"/>
              </w:rPr>
              <w:br/>
              <w:t>Stabilize Neighborhoods + Increase Owner-Occupancy</w:t>
            </w:r>
          </w:p>
        </w:tc>
      </w:tr>
      <w:tr w:rsidR="000B4D04" w14:paraId="64AFD0F4" w14:textId="77777777">
        <w:trPr>
          <w:cantSplit/>
        </w:trPr>
        <w:tc>
          <w:tcPr>
            <w:tcW w:w="0" w:type="auto"/>
            <w:vMerge/>
          </w:tcPr>
          <w:p w14:paraId="1FDBC751" w14:textId="77777777" w:rsidR="000B4D04" w:rsidRDefault="000B4D04"/>
        </w:tc>
        <w:tc>
          <w:tcPr>
            <w:tcW w:w="0" w:type="auto"/>
          </w:tcPr>
          <w:p w14:paraId="4D7A31DC" w14:textId="77777777" w:rsidR="000B4D04" w:rsidRDefault="00B90386">
            <w:pPr>
              <w:keepNext/>
              <w:spacing w:before="100" w:after="0"/>
              <w:rPr>
                <w:b/>
              </w:rPr>
            </w:pPr>
            <w:r>
              <w:rPr>
                <w:b/>
              </w:rPr>
              <w:t>Needs Addressed</w:t>
            </w:r>
          </w:p>
        </w:tc>
        <w:tc>
          <w:tcPr>
            <w:tcW w:w="0" w:type="auto"/>
          </w:tcPr>
          <w:p w14:paraId="63D7B10B" w14:textId="77777777" w:rsidR="000B4D04" w:rsidRDefault="00B90386">
            <w:pPr>
              <w:spacing w:before="100" w:after="0"/>
            </w:pPr>
            <w:r>
              <w:rPr>
                <w:color w:val="000000"/>
              </w:rPr>
              <w:t>Maintain, Preserve and Improve Housing Stock</w:t>
            </w:r>
            <w:r>
              <w:rPr>
                <w:color w:val="000000"/>
              </w:rPr>
              <w:br/>
              <w:t>Expand Type, Diversity and Supply of Housing</w:t>
            </w:r>
            <w:r>
              <w:rPr>
                <w:color w:val="000000"/>
              </w:rPr>
              <w:br/>
              <w:t>Enhance Public Safety and Health</w:t>
            </w:r>
            <w:r>
              <w:rPr>
                <w:color w:val="000000"/>
              </w:rPr>
              <w:br/>
              <w:t>Promote Neighborhood Stabilization</w:t>
            </w:r>
          </w:p>
        </w:tc>
      </w:tr>
      <w:tr w:rsidR="000B4D04" w14:paraId="1192E8B5" w14:textId="77777777">
        <w:trPr>
          <w:cantSplit/>
        </w:trPr>
        <w:tc>
          <w:tcPr>
            <w:tcW w:w="0" w:type="auto"/>
            <w:vMerge/>
          </w:tcPr>
          <w:p w14:paraId="47F0184D" w14:textId="77777777" w:rsidR="000B4D04" w:rsidRDefault="000B4D04"/>
        </w:tc>
        <w:tc>
          <w:tcPr>
            <w:tcW w:w="0" w:type="auto"/>
          </w:tcPr>
          <w:p w14:paraId="60E11EE2" w14:textId="77777777" w:rsidR="000B4D04" w:rsidRDefault="00B90386">
            <w:pPr>
              <w:keepNext/>
              <w:spacing w:before="100" w:after="0"/>
              <w:rPr>
                <w:b/>
              </w:rPr>
            </w:pPr>
            <w:r>
              <w:rPr>
                <w:b/>
              </w:rPr>
              <w:t>Funding</w:t>
            </w:r>
          </w:p>
        </w:tc>
        <w:tc>
          <w:tcPr>
            <w:tcW w:w="0" w:type="auto"/>
          </w:tcPr>
          <w:p w14:paraId="376AA6EF" w14:textId="77777777" w:rsidR="000B4D04" w:rsidRDefault="00B90386">
            <w:pPr>
              <w:spacing w:before="100" w:after="0"/>
            </w:pPr>
            <w:r>
              <w:rPr>
                <w:color w:val="000000"/>
              </w:rPr>
              <w:t>CDBG: $68,000.00</w:t>
            </w:r>
          </w:p>
        </w:tc>
      </w:tr>
      <w:tr w:rsidR="000B4D04" w14:paraId="71CA85E3" w14:textId="77777777">
        <w:trPr>
          <w:cantSplit/>
        </w:trPr>
        <w:tc>
          <w:tcPr>
            <w:tcW w:w="0" w:type="auto"/>
            <w:vMerge/>
          </w:tcPr>
          <w:p w14:paraId="4BF61EFA" w14:textId="77777777" w:rsidR="000B4D04" w:rsidRDefault="000B4D04"/>
        </w:tc>
        <w:tc>
          <w:tcPr>
            <w:tcW w:w="0" w:type="auto"/>
          </w:tcPr>
          <w:p w14:paraId="3C0F31A4" w14:textId="77777777" w:rsidR="000B4D04" w:rsidRDefault="00B90386">
            <w:pPr>
              <w:keepNext/>
              <w:spacing w:before="100" w:after="0"/>
              <w:rPr>
                <w:b/>
              </w:rPr>
            </w:pPr>
            <w:r>
              <w:rPr>
                <w:b/>
              </w:rPr>
              <w:t>Description</w:t>
            </w:r>
          </w:p>
        </w:tc>
        <w:tc>
          <w:tcPr>
            <w:tcW w:w="0" w:type="auto"/>
          </w:tcPr>
          <w:p w14:paraId="2DF02BBC" w14:textId="77777777" w:rsidR="000B4D04" w:rsidRDefault="00B90386">
            <w:pPr>
              <w:spacing w:before="100" w:after="0"/>
            </w:pPr>
            <w:r>
              <w:rPr>
                <w:color w:val="000000"/>
              </w:rPr>
              <w:t>Enhanced Code Enforcement in the CDBG Target Area, mostly around housing, public health, sanitation and building codes and safety.</w:t>
            </w:r>
          </w:p>
        </w:tc>
      </w:tr>
      <w:tr w:rsidR="000B4D04" w14:paraId="2F5DD9CB" w14:textId="77777777">
        <w:trPr>
          <w:cantSplit/>
        </w:trPr>
        <w:tc>
          <w:tcPr>
            <w:tcW w:w="0" w:type="auto"/>
            <w:vMerge/>
          </w:tcPr>
          <w:p w14:paraId="017F5752" w14:textId="77777777" w:rsidR="000B4D04" w:rsidRDefault="000B4D04"/>
        </w:tc>
        <w:tc>
          <w:tcPr>
            <w:tcW w:w="0" w:type="auto"/>
          </w:tcPr>
          <w:p w14:paraId="0D459007" w14:textId="77777777" w:rsidR="000B4D04" w:rsidRDefault="00B90386">
            <w:pPr>
              <w:keepNext/>
              <w:spacing w:before="100" w:after="0"/>
              <w:rPr>
                <w:b/>
              </w:rPr>
            </w:pPr>
            <w:r>
              <w:rPr>
                <w:b/>
              </w:rPr>
              <w:t>Target Date</w:t>
            </w:r>
          </w:p>
        </w:tc>
        <w:tc>
          <w:tcPr>
            <w:tcW w:w="0" w:type="auto"/>
          </w:tcPr>
          <w:p w14:paraId="40B3089A" w14:textId="77777777" w:rsidR="000B4D04" w:rsidRDefault="00B90386">
            <w:pPr>
              <w:spacing w:before="100" w:after="0"/>
            </w:pPr>
            <w:r>
              <w:rPr>
                <w:color w:val="000000"/>
              </w:rPr>
              <w:t>6/30/2026</w:t>
            </w:r>
          </w:p>
        </w:tc>
      </w:tr>
      <w:tr w:rsidR="000B4D04" w14:paraId="26D6E124" w14:textId="77777777">
        <w:trPr>
          <w:cantSplit/>
        </w:trPr>
        <w:tc>
          <w:tcPr>
            <w:tcW w:w="0" w:type="auto"/>
            <w:vMerge/>
          </w:tcPr>
          <w:p w14:paraId="3E791ACF" w14:textId="77777777" w:rsidR="000B4D04" w:rsidRDefault="000B4D04"/>
        </w:tc>
        <w:tc>
          <w:tcPr>
            <w:tcW w:w="0" w:type="auto"/>
          </w:tcPr>
          <w:p w14:paraId="47065DC7" w14:textId="77777777" w:rsidR="000B4D04" w:rsidRDefault="00B90386">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5A486851" w14:textId="7CA8AE8B" w:rsidR="000B4D04" w:rsidRDefault="00B90386">
            <w:pPr>
              <w:spacing w:before="100" w:after="0"/>
            </w:pPr>
            <w:r>
              <w:rPr>
                <w:color w:val="000000"/>
              </w:rPr>
              <w:t xml:space="preserve">Over 2,025 individuals and households will benefit from enhanced Code Enforcement efforts and activities funded through this Goal.  This does not </w:t>
            </w:r>
            <w:r w:rsidR="007F2FB7">
              <w:rPr>
                <w:color w:val="000000"/>
              </w:rPr>
              <w:t>include</w:t>
            </w:r>
            <w:r>
              <w:rPr>
                <w:color w:val="000000"/>
              </w:rPr>
              <w:t xml:space="preserve"> abutters and neighbors of these 2,205 properties that will receive enhanced inspections in the CDBG Target Area.</w:t>
            </w:r>
          </w:p>
        </w:tc>
      </w:tr>
      <w:tr w:rsidR="000B4D04" w14:paraId="0B42AC7C" w14:textId="77777777">
        <w:trPr>
          <w:cantSplit/>
        </w:trPr>
        <w:tc>
          <w:tcPr>
            <w:tcW w:w="0" w:type="auto"/>
            <w:vMerge/>
          </w:tcPr>
          <w:p w14:paraId="1C87E345" w14:textId="77777777" w:rsidR="000B4D04" w:rsidRDefault="000B4D04"/>
        </w:tc>
        <w:tc>
          <w:tcPr>
            <w:tcW w:w="0" w:type="auto"/>
          </w:tcPr>
          <w:p w14:paraId="24268298" w14:textId="77777777" w:rsidR="000B4D04" w:rsidRDefault="00B90386">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746CC15B" w14:textId="77777777" w:rsidR="000B4D04" w:rsidRDefault="00B90386">
            <w:pPr>
              <w:spacing w:before="100" w:after="0"/>
            </w:pPr>
            <w:r>
              <w:rPr>
                <w:color w:val="000000"/>
              </w:rPr>
              <w:t>These activities will occur strictly in the CDBG Target Area, providing an enhanced level of housing, building and health inspections in the area(s) of the city most in need of these services. </w:t>
            </w:r>
          </w:p>
        </w:tc>
      </w:tr>
      <w:tr w:rsidR="000B4D04" w14:paraId="5D11DEF8" w14:textId="77777777">
        <w:trPr>
          <w:cantSplit/>
        </w:trPr>
        <w:tc>
          <w:tcPr>
            <w:tcW w:w="0" w:type="auto"/>
            <w:vMerge/>
          </w:tcPr>
          <w:p w14:paraId="17DFBE3B" w14:textId="77777777" w:rsidR="000B4D04" w:rsidRDefault="000B4D04"/>
        </w:tc>
        <w:tc>
          <w:tcPr>
            <w:tcW w:w="0" w:type="auto"/>
          </w:tcPr>
          <w:p w14:paraId="7D91A536" w14:textId="77777777" w:rsidR="000B4D04" w:rsidRDefault="00B90386">
            <w:pPr>
              <w:keepNext/>
              <w:spacing w:before="100" w:after="0"/>
              <w:rPr>
                <w:rFonts w:asciiTheme="minorHAnsi" w:hAnsiTheme="minorHAnsi"/>
                <w:b/>
              </w:rPr>
            </w:pPr>
            <w:r>
              <w:rPr>
                <w:rStyle w:val="Strong"/>
                <w:rFonts w:asciiTheme="minorHAnsi" w:hAnsiTheme="minorHAnsi"/>
              </w:rPr>
              <w:t>Planned Activities</w:t>
            </w:r>
          </w:p>
        </w:tc>
        <w:tc>
          <w:tcPr>
            <w:tcW w:w="0" w:type="auto"/>
          </w:tcPr>
          <w:p w14:paraId="577C0945" w14:textId="77777777" w:rsidR="000B4D04" w:rsidRDefault="00B90386">
            <w:pPr>
              <w:spacing w:before="100" w:after="0"/>
            </w:pPr>
            <w:r>
              <w:rPr>
                <w:color w:val="000000"/>
              </w:rPr>
              <w:t>Activities provided by CDBG-funded Code Enforcement staff include the following:</w:t>
            </w:r>
          </w:p>
          <w:p w14:paraId="4C7C7142" w14:textId="77777777" w:rsidR="000B4D04" w:rsidRDefault="00B90386">
            <w:pPr>
              <w:spacing w:before="100" w:after="0"/>
            </w:pPr>
            <w:r>
              <w:rPr>
                <w:color w:val="000000"/>
              </w:rPr>
              <w:t>-Building Code Inspections and Building Violations-</w:t>
            </w:r>
            <w:r>
              <w:rPr>
                <w:color w:val="000000"/>
              </w:rPr>
              <w:br/>
              <w:t>-Building Occupancy Inspections-</w:t>
            </w:r>
            <w:r>
              <w:rPr>
                <w:color w:val="000000"/>
              </w:rPr>
              <w:br/>
              <w:t>-Building Zoning Complaints-</w:t>
            </w:r>
            <w:r>
              <w:rPr>
                <w:color w:val="000000"/>
              </w:rPr>
              <w:br/>
              <w:t>-Business Occupancy Inspections-</w:t>
            </w:r>
            <w:r>
              <w:rPr>
                <w:color w:val="000000"/>
              </w:rPr>
              <w:br/>
              <w:t>-Housing Code Complaint Investigation-</w:t>
            </w:r>
            <w:r>
              <w:rPr>
                <w:color w:val="000000"/>
              </w:rPr>
              <w:br/>
              <w:t>-Fire Scene Inspections-</w:t>
            </w:r>
            <w:r>
              <w:rPr>
                <w:color w:val="000000"/>
              </w:rPr>
              <w:br/>
              <w:t>-Housing Court Inspections and Appearances-</w:t>
            </w:r>
            <w:r>
              <w:rPr>
                <w:color w:val="000000"/>
              </w:rPr>
              <w:br/>
              <w:t>-Housing Code Inspections and Re-Inspections-</w:t>
            </w:r>
            <w:r>
              <w:rPr>
                <w:color w:val="000000"/>
              </w:rPr>
              <w:br/>
              <w:t>-Rental Inspections and Re-Inspections-</w:t>
            </w:r>
            <w:r>
              <w:rPr>
                <w:color w:val="000000"/>
              </w:rPr>
              <w:br/>
              <w:t>-Sanitary and Trash Inspections-</w:t>
            </w:r>
            <w:r>
              <w:rPr>
                <w:color w:val="000000"/>
              </w:rPr>
              <w:br/>
              <w:t>-No Building Permits/ Unsafe Building Practices-</w:t>
            </w:r>
            <w:r>
              <w:rPr>
                <w:color w:val="000000"/>
              </w:rPr>
              <w:br/>
              <w:t>-Unregistered/Abandoned Vehicles-</w:t>
            </w:r>
            <w:r>
              <w:rPr>
                <w:color w:val="000000"/>
              </w:rPr>
              <w:br/>
              <w:t>-Demolition Inspections and Permitting-</w:t>
            </w:r>
            <w:r>
              <w:rPr>
                <w:color w:val="000000"/>
              </w:rPr>
              <w:br/>
              <w:t>-Development Review to expedite Target Area projects-</w:t>
            </w:r>
            <w:r>
              <w:rPr>
                <w:color w:val="000000"/>
              </w:rPr>
              <w:br/>
              <w:t xml:space="preserve"> and COVID/H</w:t>
            </w:r>
            <w:r>
              <w:rPr>
                <w:color w:val="000000"/>
              </w:rPr>
              <w:t>ealth Enforcement.</w:t>
            </w:r>
          </w:p>
        </w:tc>
      </w:tr>
      <w:tr w:rsidR="000B4D04" w14:paraId="16174897" w14:textId="77777777">
        <w:trPr>
          <w:cantSplit/>
        </w:trPr>
        <w:tc>
          <w:tcPr>
            <w:tcW w:w="0" w:type="auto"/>
            <w:vMerge w:val="restart"/>
          </w:tcPr>
          <w:p w14:paraId="11A3C2D0" w14:textId="77777777" w:rsidR="000B4D04" w:rsidRDefault="00B90386">
            <w:r>
              <w:rPr>
                <w:b/>
              </w:rPr>
              <w:t>4</w:t>
            </w:r>
          </w:p>
        </w:tc>
        <w:tc>
          <w:tcPr>
            <w:tcW w:w="0" w:type="auto"/>
          </w:tcPr>
          <w:p w14:paraId="52755C8F" w14:textId="77777777" w:rsidR="000B4D04" w:rsidRDefault="00B90386">
            <w:pPr>
              <w:keepNext/>
              <w:spacing w:before="100" w:after="0"/>
              <w:rPr>
                <w:b/>
              </w:rPr>
            </w:pPr>
            <w:r>
              <w:rPr>
                <w:b/>
              </w:rPr>
              <w:t>Project Name</w:t>
            </w:r>
          </w:p>
        </w:tc>
        <w:tc>
          <w:tcPr>
            <w:tcW w:w="0" w:type="auto"/>
          </w:tcPr>
          <w:p w14:paraId="7B6CC039" w14:textId="77777777" w:rsidR="000B4D04" w:rsidRDefault="00B90386">
            <w:pPr>
              <w:spacing w:before="100" w:after="0"/>
            </w:pPr>
            <w:r>
              <w:rPr>
                <w:color w:val="000000"/>
              </w:rPr>
              <w:t>Public Improvements</w:t>
            </w:r>
          </w:p>
        </w:tc>
      </w:tr>
      <w:tr w:rsidR="000B4D04" w14:paraId="64A2218E" w14:textId="77777777">
        <w:trPr>
          <w:cantSplit/>
        </w:trPr>
        <w:tc>
          <w:tcPr>
            <w:tcW w:w="0" w:type="auto"/>
            <w:vMerge/>
          </w:tcPr>
          <w:p w14:paraId="16488254" w14:textId="77777777" w:rsidR="000B4D04" w:rsidRDefault="000B4D04"/>
        </w:tc>
        <w:tc>
          <w:tcPr>
            <w:tcW w:w="0" w:type="auto"/>
          </w:tcPr>
          <w:p w14:paraId="76BC9034" w14:textId="77777777" w:rsidR="000B4D04" w:rsidRDefault="00B90386">
            <w:pPr>
              <w:keepNext/>
              <w:spacing w:before="100" w:after="0"/>
              <w:rPr>
                <w:b/>
              </w:rPr>
            </w:pPr>
            <w:r>
              <w:rPr>
                <w:b/>
              </w:rPr>
              <w:t>Target Area</w:t>
            </w:r>
          </w:p>
        </w:tc>
        <w:tc>
          <w:tcPr>
            <w:tcW w:w="0" w:type="auto"/>
          </w:tcPr>
          <w:p w14:paraId="3AF503DE" w14:textId="77777777" w:rsidR="000B4D04" w:rsidRDefault="00B90386">
            <w:pPr>
              <w:spacing w:before="100" w:after="0"/>
            </w:pPr>
            <w:r>
              <w:rPr>
                <w:color w:val="000000"/>
              </w:rPr>
              <w:t>CDBG TARGET AREA</w:t>
            </w:r>
            <w:r>
              <w:rPr>
                <w:color w:val="000000"/>
              </w:rPr>
              <w:br/>
              <w:t>Lower Acre NRSA</w:t>
            </w:r>
            <w:r>
              <w:rPr>
                <w:color w:val="000000"/>
              </w:rPr>
              <w:br/>
              <w:t>Mount Washington NRSA</w:t>
            </w:r>
          </w:p>
        </w:tc>
      </w:tr>
      <w:tr w:rsidR="000B4D04" w14:paraId="4F477C98" w14:textId="77777777">
        <w:trPr>
          <w:cantSplit/>
        </w:trPr>
        <w:tc>
          <w:tcPr>
            <w:tcW w:w="0" w:type="auto"/>
            <w:vMerge/>
          </w:tcPr>
          <w:p w14:paraId="3AEE307C" w14:textId="77777777" w:rsidR="000B4D04" w:rsidRDefault="000B4D04"/>
        </w:tc>
        <w:tc>
          <w:tcPr>
            <w:tcW w:w="0" w:type="auto"/>
          </w:tcPr>
          <w:p w14:paraId="5EC6CE1A" w14:textId="77777777" w:rsidR="000B4D04" w:rsidRDefault="00B90386">
            <w:pPr>
              <w:keepNext/>
              <w:spacing w:before="100" w:after="0"/>
              <w:rPr>
                <w:b/>
              </w:rPr>
            </w:pPr>
            <w:r>
              <w:rPr>
                <w:b/>
              </w:rPr>
              <w:t>Goals Supported</w:t>
            </w:r>
          </w:p>
        </w:tc>
        <w:tc>
          <w:tcPr>
            <w:tcW w:w="0" w:type="auto"/>
          </w:tcPr>
          <w:p w14:paraId="0BDD991C" w14:textId="77777777" w:rsidR="000B4D04" w:rsidRDefault="00B90386">
            <w:pPr>
              <w:spacing w:before="100" w:after="0"/>
            </w:pPr>
            <w:r>
              <w:rPr>
                <w:color w:val="000000"/>
              </w:rPr>
              <w:t>Promote Neighborhood-Based Economic Development</w:t>
            </w:r>
            <w:r>
              <w:rPr>
                <w:color w:val="000000"/>
              </w:rPr>
              <w:br/>
              <w:t>Stabilize Neighborhoods + Increase Owner-Occupancy</w:t>
            </w:r>
          </w:p>
        </w:tc>
      </w:tr>
      <w:tr w:rsidR="000B4D04" w14:paraId="001E19D2" w14:textId="77777777">
        <w:trPr>
          <w:cantSplit/>
        </w:trPr>
        <w:tc>
          <w:tcPr>
            <w:tcW w:w="0" w:type="auto"/>
            <w:vMerge/>
          </w:tcPr>
          <w:p w14:paraId="0483C09E" w14:textId="77777777" w:rsidR="000B4D04" w:rsidRDefault="000B4D04"/>
        </w:tc>
        <w:tc>
          <w:tcPr>
            <w:tcW w:w="0" w:type="auto"/>
          </w:tcPr>
          <w:p w14:paraId="4D81285E" w14:textId="77777777" w:rsidR="000B4D04" w:rsidRDefault="00B90386">
            <w:pPr>
              <w:keepNext/>
              <w:spacing w:before="100" w:after="0"/>
              <w:rPr>
                <w:b/>
              </w:rPr>
            </w:pPr>
            <w:r>
              <w:rPr>
                <w:b/>
              </w:rPr>
              <w:t>Needs Addressed</w:t>
            </w:r>
          </w:p>
        </w:tc>
        <w:tc>
          <w:tcPr>
            <w:tcW w:w="0" w:type="auto"/>
          </w:tcPr>
          <w:p w14:paraId="6EF6761D" w14:textId="77777777" w:rsidR="000B4D04" w:rsidRDefault="00B90386">
            <w:pPr>
              <w:spacing w:before="100" w:after="0"/>
            </w:pPr>
            <w:r>
              <w:rPr>
                <w:color w:val="000000"/>
              </w:rPr>
              <w:t>Enhance Public Safety and Health</w:t>
            </w:r>
            <w:r>
              <w:rPr>
                <w:color w:val="000000"/>
              </w:rPr>
              <w:br/>
              <w:t>Promote Neighborhood Stabilization</w:t>
            </w:r>
          </w:p>
        </w:tc>
      </w:tr>
      <w:tr w:rsidR="000B4D04" w14:paraId="56148503" w14:textId="77777777">
        <w:trPr>
          <w:cantSplit/>
        </w:trPr>
        <w:tc>
          <w:tcPr>
            <w:tcW w:w="0" w:type="auto"/>
            <w:vMerge/>
          </w:tcPr>
          <w:p w14:paraId="1DD13454" w14:textId="77777777" w:rsidR="000B4D04" w:rsidRDefault="000B4D04"/>
        </w:tc>
        <w:tc>
          <w:tcPr>
            <w:tcW w:w="0" w:type="auto"/>
          </w:tcPr>
          <w:p w14:paraId="7DD14657" w14:textId="77777777" w:rsidR="000B4D04" w:rsidRDefault="00B90386">
            <w:pPr>
              <w:keepNext/>
              <w:spacing w:before="100" w:after="0"/>
              <w:rPr>
                <w:b/>
              </w:rPr>
            </w:pPr>
            <w:r>
              <w:rPr>
                <w:b/>
              </w:rPr>
              <w:t>Funding</w:t>
            </w:r>
          </w:p>
        </w:tc>
        <w:tc>
          <w:tcPr>
            <w:tcW w:w="0" w:type="auto"/>
          </w:tcPr>
          <w:p w14:paraId="60847F4D" w14:textId="77777777" w:rsidR="000B4D04" w:rsidRDefault="00B90386">
            <w:pPr>
              <w:spacing w:before="100" w:after="0"/>
            </w:pPr>
            <w:r>
              <w:rPr>
                <w:color w:val="000000"/>
              </w:rPr>
              <w:t>CDBG: $206,125.00</w:t>
            </w:r>
          </w:p>
        </w:tc>
      </w:tr>
      <w:tr w:rsidR="000B4D04" w14:paraId="4C42BD86" w14:textId="77777777">
        <w:trPr>
          <w:cantSplit/>
        </w:trPr>
        <w:tc>
          <w:tcPr>
            <w:tcW w:w="0" w:type="auto"/>
            <w:vMerge/>
          </w:tcPr>
          <w:p w14:paraId="6C3FAE56" w14:textId="77777777" w:rsidR="000B4D04" w:rsidRDefault="000B4D04"/>
        </w:tc>
        <w:tc>
          <w:tcPr>
            <w:tcW w:w="0" w:type="auto"/>
          </w:tcPr>
          <w:p w14:paraId="621008CF" w14:textId="77777777" w:rsidR="000B4D04" w:rsidRDefault="00B90386">
            <w:pPr>
              <w:keepNext/>
              <w:spacing w:before="100" w:after="0"/>
              <w:rPr>
                <w:b/>
              </w:rPr>
            </w:pPr>
            <w:r>
              <w:rPr>
                <w:b/>
              </w:rPr>
              <w:t>Description</w:t>
            </w:r>
          </w:p>
        </w:tc>
        <w:tc>
          <w:tcPr>
            <w:tcW w:w="0" w:type="auto"/>
          </w:tcPr>
          <w:p w14:paraId="1C2ED8E0" w14:textId="77777777" w:rsidR="000B4D04" w:rsidRDefault="00B90386">
            <w:pPr>
              <w:spacing w:before="100" w:after="0"/>
            </w:pPr>
            <w:r>
              <w:rPr>
                <w:color w:val="000000"/>
              </w:rPr>
              <w:t>Public Capital Improvements in the CDBG Target Area, including construction of public facilities and infrastructure such as parks, streets, sidewalks, public art and beautification, tree planting, etc. Also included under this definition are elements such as improving resiliency, infrastructure and capacity of facilities used by the public, such as food pantries.</w:t>
            </w:r>
          </w:p>
        </w:tc>
      </w:tr>
      <w:tr w:rsidR="000B4D04" w14:paraId="70B3C4FE" w14:textId="77777777">
        <w:trPr>
          <w:cantSplit/>
        </w:trPr>
        <w:tc>
          <w:tcPr>
            <w:tcW w:w="0" w:type="auto"/>
            <w:vMerge/>
          </w:tcPr>
          <w:p w14:paraId="376DA7B4" w14:textId="77777777" w:rsidR="000B4D04" w:rsidRDefault="000B4D04"/>
        </w:tc>
        <w:tc>
          <w:tcPr>
            <w:tcW w:w="0" w:type="auto"/>
          </w:tcPr>
          <w:p w14:paraId="04C77F0F" w14:textId="77777777" w:rsidR="000B4D04" w:rsidRDefault="00B90386">
            <w:pPr>
              <w:keepNext/>
              <w:spacing w:before="100" w:after="0"/>
              <w:rPr>
                <w:b/>
              </w:rPr>
            </w:pPr>
            <w:r>
              <w:rPr>
                <w:b/>
              </w:rPr>
              <w:t>Target Date</w:t>
            </w:r>
          </w:p>
        </w:tc>
        <w:tc>
          <w:tcPr>
            <w:tcW w:w="0" w:type="auto"/>
          </w:tcPr>
          <w:p w14:paraId="74620DAE" w14:textId="77777777" w:rsidR="000B4D04" w:rsidRDefault="00B90386">
            <w:pPr>
              <w:spacing w:before="100" w:after="0"/>
            </w:pPr>
            <w:r>
              <w:rPr>
                <w:color w:val="000000"/>
              </w:rPr>
              <w:t>6/30/2026</w:t>
            </w:r>
          </w:p>
        </w:tc>
      </w:tr>
      <w:tr w:rsidR="000B4D04" w14:paraId="0AAFF79A" w14:textId="77777777">
        <w:trPr>
          <w:cantSplit/>
        </w:trPr>
        <w:tc>
          <w:tcPr>
            <w:tcW w:w="0" w:type="auto"/>
            <w:vMerge/>
          </w:tcPr>
          <w:p w14:paraId="3B993CFC" w14:textId="77777777" w:rsidR="000B4D04" w:rsidRDefault="000B4D04"/>
        </w:tc>
        <w:tc>
          <w:tcPr>
            <w:tcW w:w="0" w:type="auto"/>
          </w:tcPr>
          <w:p w14:paraId="00C55B01" w14:textId="77777777" w:rsidR="000B4D04" w:rsidRDefault="00B90386">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2E40E578" w14:textId="3B881AC6" w:rsidR="000B4D04" w:rsidRDefault="00B90386">
            <w:pPr>
              <w:spacing w:before="100" w:after="0"/>
            </w:pPr>
            <w:r>
              <w:rPr>
                <w:color w:val="000000"/>
              </w:rPr>
              <w:t>Public improvements are usually items enjoyed or util</w:t>
            </w:r>
            <w:r>
              <w:rPr>
                <w:color w:val="000000"/>
              </w:rPr>
              <w:t>ized by thousands of people.  It is nearly impossible to calculate all the</w:t>
            </w:r>
            <w:r>
              <w:rPr>
                <w:color w:val="000000"/>
              </w:rPr>
              <w:t xml:space="preserve"> families that would bene</w:t>
            </w:r>
            <w:r>
              <w:rPr>
                <w:color w:val="000000"/>
              </w:rPr>
              <w:t>f</w:t>
            </w:r>
            <w:r w:rsidR="00772670">
              <w:rPr>
                <w:color w:val="000000"/>
              </w:rPr>
              <w:t>i</w:t>
            </w:r>
            <w:r>
              <w:rPr>
                <w:color w:val="000000"/>
              </w:rPr>
              <w:t>t from such activities-- a rough est</w:t>
            </w:r>
            <w:r>
              <w:rPr>
                <w:color w:val="000000"/>
              </w:rPr>
              <w:t>imate is that 25% of the city residents would benefit from these improvements, along with roughly 10,000 visitors.</w:t>
            </w:r>
          </w:p>
        </w:tc>
      </w:tr>
      <w:tr w:rsidR="000B4D04" w14:paraId="407F8046" w14:textId="77777777">
        <w:trPr>
          <w:cantSplit/>
        </w:trPr>
        <w:tc>
          <w:tcPr>
            <w:tcW w:w="0" w:type="auto"/>
            <w:vMerge/>
          </w:tcPr>
          <w:p w14:paraId="1BBA871B" w14:textId="77777777" w:rsidR="000B4D04" w:rsidRDefault="000B4D04"/>
        </w:tc>
        <w:tc>
          <w:tcPr>
            <w:tcW w:w="0" w:type="auto"/>
          </w:tcPr>
          <w:p w14:paraId="5DDDE2D2" w14:textId="77777777" w:rsidR="000B4D04" w:rsidRDefault="00B90386">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245389D7" w14:textId="77777777" w:rsidR="000B4D04" w:rsidRDefault="00B90386">
            <w:pPr>
              <w:spacing w:before="100" w:after="0"/>
            </w:pPr>
            <w:r>
              <w:rPr>
                <w:color w:val="000000"/>
              </w:rPr>
              <w:t>Activities in this Project will be undertaken strictly within the CDBG Target Area (lower-income neighborhoods that have been chronically disinvested).</w:t>
            </w:r>
          </w:p>
          <w:p w14:paraId="33DBBC59" w14:textId="77777777" w:rsidR="000B4D04" w:rsidRDefault="00B90386">
            <w:pPr>
              <w:spacing w:before="100" w:after="0"/>
            </w:pPr>
            <w:r>
              <w:rPr>
                <w:color w:val="000000"/>
              </w:rPr>
              <w:t>Some CDBG funds may be directed Downtown to support the redevelopment of the failed former Urban Renewal area with the District Square development, a $175 million public-private project by the Lupoli Companies that will create 400 units of housing in a mixed-use development with a new public parking garage and public plaza.</w:t>
            </w:r>
          </w:p>
          <w:p w14:paraId="0FD56180" w14:textId="77777777" w:rsidR="000B4D04" w:rsidRDefault="00B90386">
            <w:pPr>
              <w:spacing w:before="100" w:after="0"/>
            </w:pPr>
            <w:r>
              <w:rPr>
                <w:color w:val="000000"/>
              </w:rPr>
              <w:t>Other improvements are targeted for the Lower Acre, namely Winter Street, with Beyond Walls planning a mural on the YMCA building on Winter Street, and an elevator installation at Common Ground Ministries' afternoon homeless drop-in center down the street.  Completion of accessibility enhancements at the Open Hand Food Pantry (a new lift) on Ashland Street is also scheduled.</w:t>
            </w:r>
          </w:p>
          <w:p w14:paraId="080A23B3" w14:textId="04A03B7F" w:rsidR="000B4D04" w:rsidRDefault="00B90386">
            <w:pPr>
              <w:spacing w:before="100" w:after="0"/>
            </w:pPr>
            <w:r>
              <w:rPr>
                <w:color w:val="000000"/>
              </w:rPr>
              <w:t xml:space="preserve">Other Public Improvement funds will be leveraged with City Capital budget funds at project locations to be determined. It is highly likely that resurfacing and enhancements of a redesigned Washington Square in Downtown will be a likely location for future CDBG investment.  The City used ARPA-funds in 2025 to conduct design studies </w:t>
            </w:r>
            <w:r w:rsidR="007F2FB7">
              <w:rPr>
                <w:color w:val="000000"/>
              </w:rPr>
              <w:t>for</w:t>
            </w:r>
            <w:r>
              <w:rPr>
                <w:color w:val="000000"/>
              </w:rPr>
              <w:t xml:space="preserve"> this project, which seeks to remove uneven cobblestones that many vis</w:t>
            </w:r>
            <w:r w:rsidR="00772670">
              <w:rPr>
                <w:color w:val="000000"/>
              </w:rPr>
              <w:t>i</w:t>
            </w:r>
            <w:r>
              <w:rPr>
                <w:color w:val="000000"/>
              </w:rPr>
              <w:t>tor</w:t>
            </w:r>
            <w:r>
              <w:rPr>
                <w:color w:val="000000"/>
              </w:rPr>
              <w:t>s, including senior residents, find problematic as trip hazards.  This project will be 'shovel-ready' but there are no ARPA funds available for construction of this project.</w:t>
            </w:r>
          </w:p>
          <w:p w14:paraId="08084659" w14:textId="18F1EEB9" w:rsidR="000B4D04" w:rsidRDefault="00B90386">
            <w:pPr>
              <w:spacing w:before="100" w:after="0"/>
            </w:pPr>
            <w:r>
              <w:rPr>
                <w:color w:val="000000"/>
              </w:rPr>
              <w:t>Likewise, the Essex Street corridor northward from Washington Square towards Lafayette Square is a key area of geographic focus, especially in the area around the Haverhill railroad station where Historic New E</w:t>
            </w:r>
            <w:r w:rsidR="00772670">
              <w:rPr>
                <w:color w:val="000000"/>
              </w:rPr>
              <w:t>ng</w:t>
            </w:r>
            <w:r>
              <w:rPr>
                <w:color w:val="000000"/>
              </w:rPr>
              <w:t>land is launching a massive investment in its headqua</w:t>
            </w:r>
            <w:r w:rsidR="00772670">
              <w:rPr>
                <w:color w:val="000000"/>
              </w:rPr>
              <w:t>r</w:t>
            </w:r>
            <w:r>
              <w:rPr>
                <w:color w:val="000000"/>
              </w:rPr>
              <w:t>ters, visitor center and unparalleled collection of New England antiquities.  This old industrial corridor lacks a great deal of infrastructure, including sidewalks, curbs, uncombined sewers and trees.  </w:t>
            </w:r>
          </w:p>
        </w:tc>
      </w:tr>
      <w:tr w:rsidR="000B4D04" w14:paraId="3DD27EC8" w14:textId="77777777">
        <w:trPr>
          <w:cantSplit/>
        </w:trPr>
        <w:tc>
          <w:tcPr>
            <w:tcW w:w="0" w:type="auto"/>
            <w:vMerge/>
          </w:tcPr>
          <w:p w14:paraId="7668E341" w14:textId="77777777" w:rsidR="000B4D04" w:rsidRDefault="000B4D04"/>
        </w:tc>
        <w:tc>
          <w:tcPr>
            <w:tcW w:w="0" w:type="auto"/>
          </w:tcPr>
          <w:p w14:paraId="30E32F0C" w14:textId="77777777" w:rsidR="000B4D04" w:rsidRDefault="00B90386">
            <w:pPr>
              <w:keepNext/>
              <w:spacing w:before="100" w:after="0"/>
              <w:rPr>
                <w:rFonts w:asciiTheme="minorHAnsi" w:hAnsiTheme="minorHAnsi"/>
                <w:b/>
              </w:rPr>
            </w:pPr>
            <w:r>
              <w:rPr>
                <w:rStyle w:val="Strong"/>
                <w:rFonts w:asciiTheme="minorHAnsi" w:hAnsiTheme="minorHAnsi"/>
              </w:rPr>
              <w:t>Planned Activities</w:t>
            </w:r>
          </w:p>
        </w:tc>
        <w:tc>
          <w:tcPr>
            <w:tcW w:w="0" w:type="auto"/>
          </w:tcPr>
          <w:p w14:paraId="1690B1B5" w14:textId="77777777" w:rsidR="000B4D04" w:rsidRDefault="00B90386">
            <w:pPr>
              <w:spacing w:before="100" w:after="0"/>
            </w:pPr>
            <w:r>
              <w:rPr>
                <w:color w:val="000000"/>
              </w:rPr>
              <w:t>Activities planned under this Project include:</w:t>
            </w:r>
          </w:p>
          <w:p w14:paraId="47FE3822" w14:textId="78A50390" w:rsidR="000B4D04" w:rsidRDefault="00B90386">
            <w:pPr>
              <w:spacing w:before="100" w:after="0"/>
            </w:pPr>
            <w:r>
              <w:rPr>
                <w:color w:val="000000"/>
              </w:rPr>
              <w:t xml:space="preserve">Food pantry upgrades- ($12,500 in PY25 funds)-- this continues an ongoing trend of adding infrastructure and resiliency to the city's food security network.  Funds </w:t>
            </w:r>
            <w:r w:rsidR="007F2FB7">
              <w:rPr>
                <w:color w:val="000000"/>
              </w:rPr>
              <w:t>are being</w:t>
            </w:r>
            <w:r>
              <w:rPr>
                <w:color w:val="000000"/>
              </w:rPr>
              <w:t xml:space="preserve"> used for physical accessibility, emergency electrical generator installations and other permanent infrastructure upgrades.</w:t>
            </w:r>
          </w:p>
          <w:p w14:paraId="7EBC3FD9" w14:textId="145FE29C" w:rsidR="000B4D04" w:rsidRDefault="00B90386">
            <w:pPr>
              <w:spacing w:before="100" w:after="0"/>
            </w:pPr>
            <w:r>
              <w:rPr>
                <w:color w:val="000000"/>
              </w:rPr>
              <w:t>Beyond Walls ($12,000)-- activity marks the City's third and final year providing match for a grant in</w:t>
            </w:r>
            <w:r w:rsidR="00772670">
              <w:rPr>
                <w:color w:val="000000"/>
              </w:rPr>
              <w:t>i</w:t>
            </w:r>
            <w:r>
              <w:rPr>
                <w:color w:val="000000"/>
              </w:rPr>
              <w:t>tiative with the Lynn-based non-profit that has brought multiple public art installations and murals to the Downtown area.  This activity pairs professional muralists with local artists and local art groups and student groups (to enhance their own portfolios).  The aim is to provide color and inclusionary images to beautify downtown.  This is last of a split $25,000 funding match commitment.</w:t>
            </w:r>
          </w:p>
          <w:p w14:paraId="16EA5D53" w14:textId="77777777" w:rsidR="000B4D04" w:rsidRDefault="00B90386">
            <w:pPr>
              <w:spacing w:before="100" w:after="0"/>
            </w:pPr>
            <w:r>
              <w:rPr>
                <w:color w:val="000000"/>
              </w:rPr>
              <w:t>Capital Projects Assistance ($13,059)- these funds will be used on a CDBG-eligible project on the City's official Capital list to be determined.</w:t>
            </w:r>
          </w:p>
          <w:p w14:paraId="380AE570" w14:textId="77777777" w:rsidR="000B4D04" w:rsidRDefault="00B90386">
            <w:pPr>
              <w:spacing w:before="100" w:after="0"/>
            </w:pPr>
            <w:r>
              <w:rPr>
                <w:color w:val="000000"/>
              </w:rPr>
              <w:t xml:space="preserve">$168,566.25 will be used to augment MassWorks funds on the transformative Downtown public-private development along Merrimack Street being undertaken by the Lupoli Companies that converts the former municipal parking deck into a 400-unit mixed-use complex featuring a larger high-rise garage on a smaller footprint.  This project largely undoes the effects of Urban Renewal by returning cross streets and pedestrian activity to this area.  Improvements to the resurfacing of Washington Square just down the road </w:t>
            </w:r>
            <w:r>
              <w:rPr>
                <w:color w:val="000000"/>
              </w:rPr>
              <w:t>from Merrimack Street is the other possible Activity, as this has been fully designed with ARPA funds.</w:t>
            </w:r>
          </w:p>
          <w:p w14:paraId="1510BA94" w14:textId="77777777" w:rsidR="000B4D04" w:rsidRDefault="000B4D04">
            <w:pPr>
              <w:spacing w:before="100" w:after="0"/>
            </w:pPr>
          </w:p>
        </w:tc>
      </w:tr>
      <w:tr w:rsidR="000B4D04" w14:paraId="1903E525" w14:textId="77777777">
        <w:trPr>
          <w:cantSplit/>
        </w:trPr>
        <w:tc>
          <w:tcPr>
            <w:tcW w:w="0" w:type="auto"/>
            <w:vMerge w:val="restart"/>
          </w:tcPr>
          <w:p w14:paraId="4F568F47" w14:textId="77777777" w:rsidR="000B4D04" w:rsidRDefault="00B90386">
            <w:r>
              <w:rPr>
                <w:b/>
              </w:rPr>
              <w:lastRenderedPageBreak/>
              <w:t>5</w:t>
            </w:r>
          </w:p>
        </w:tc>
        <w:tc>
          <w:tcPr>
            <w:tcW w:w="0" w:type="auto"/>
          </w:tcPr>
          <w:p w14:paraId="46C381B7" w14:textId="77777777" w:rsidR="000B4D04" w:rsidRDefault="00B90386">
            <w:pPr>
              <w:keepNext/>
              <w:spacing w:before="100" w:after="0"/>
              <w:rPr>
                <w:b/>
              </w:rPr>
            </w:pPr>
            <w:r>
              <w:rPr>
                <w:b/>
              </w:rPr>
              <w:t>Project Name</w:t>
            </w:r>
          </w:p>
        </w:tc>
        <w:tc>
          <w:tcPr>
            <w:tcW w:w="0" w:type="auto"/>
          </w:tcPr>
          <w:p w14:paraId="55542B09" w14:textId="77777777" w:rsidR="000B4D04" w:rsidRDefault="00B90386">
            <w:pPr>
              <w:spacing w:before="100" w:after="0"/>
            </w:pPr>
            <w:r>
              <w:rPr>
                <w:color w:val="000000"/>
              </w:rPr>
              <w:t>Single Family Rehabilitation</w:t>
            </w:r>
          </w:p>
        </w:tc>
      </w:tr>
      <w:tr w:rsidR="000B4D04" w14:paraId="1B11CB49" w14:textId="77777777">
        <w:trPr>
          <w:cantSplit/>
        </w:trPr>
        <w:tc>
          <w:tcPr>
            <w:tcW w:w="0" w:type="auto"/>
            <w:vMerge/>
          </w:tcPr>
          <w:p w14:paraId="457A6CFF" w14:textId="77777777" w:rsidR="000B4D04" w:rsidRDefault="000B4D04"/>
        </w:tc>
        <w:tc>
          <w:tcPr>
            <w:tcW w:w="0" w:type="auto"/>
          </w:tcPr>
          <w:p w14:paraId="04B44117" w14:textId="77777777" w:rsidR="000B4D04" w:rsidRDefault="00B90386">
            <w:pPr>
              <w:keepNext/>
              <w:spacing w:before="100" w:after="0"/>
              <w:rPr>
                <w:b/>
              </w:rPr>
            </w:pPr>
            <w:r>
              <w:rPr>
                <w:b/>
              </w:rPr>
              <w:t>Target Area</w:t>
            </w:r>
          </w:p>
        </w:tc>
        <w:tc>
          <w:tcPr>
            <w:tcW w:w="0" w:type="auto"/>
          </w:tcPr>
          <w:p w14:paraId="1231C9A7" w14:textId="77777777" w:rsidR="000B4D04" w:rsidRDefault="00B90386">
            <w:pPr>
              <w:spacing w:before="100" w:after="0"/>
            </w:pPr>
            <w:r>
              <w:rPr>
                <w:color w:val="000000"/>
              </w:rPr>
              <w:t>CDBG TARGET AREA</w:t>
            </w:r>
            <w:r>
              <w:rPr>
                <w:color w:val="000000"/>
              </w:rPr>
              <w:br/>
              <w:t>Lower Acre NRSA</w:t>
            </w:r>
            <w:r>
              <w:rPr>
                <w:color w:val="000000"/>
              </w:rPr>
              <w:br/>
              <w:t>Mount Washington NRSA</w:t>
            </w:r>
          </w:p>
        </w:tc>
      </w:tr>
      <w:tr w:rsidR="000B4D04" w14:paraId="7EA188AE" w14:textId="77777777">
        <w:trPr>
          <w:cantSplit/>
        </w:trPr>
        <w:tc>
          <w:tcPr>
            <w:tcW w:w="0" w:type="auto"/>
            <w:vMerge/>
          </w:tcPr>
          <w:p w14:paraId="14B06B2A" w14:textId="77777777" w:rsidR="000B4D04" w:rsidRDefault="000B4D04"/>
        </w:tc>
        <w:tc>
          <w:tcPr>
            <w:tcW w:w="0" w:type="auto"/>
          </w:tcPr>
          <w:p w14:paraId="4F0BF436" w14:textId="77777777" w:rsidR="000B4D04" w:rsidRDefault="00B90386">
            <w:pPr>
              <w:keepNext/>
              <w:spacing w:before="100" w:after="0"/>
              <w:rPr>
                <w:b/>
              </w:rPr>
            </w:pPr>
            <w:r>
              <w:rPr>
                <w:b/>
              </w:rPr>
              <w:t>Goals Supported</w:t>
            </w:r>
          </w:p>
        </w:tc>
        <w:tc>
          <w:tcPr>
            <w:tcW w:w="0" w:type="auto"/>
          </w:tcPr>
          <w:p w14:paraId="18A4A02C" w14:textId="77777777" w:rsidR="000B4D04" w:rsidRDefault="00B90386">
            <w:pPr>
              <w:spacing w:before="100" w:after="0"/>
            </w:pPr>
            <w:r>
              <w:rPr>
                <w:color w:val="000000"/>
              </w:rPr>
              <w:t>Maintain Housing Stock</w:t>
            </w:r>
            <w:r>
              <w:rPr>
                <w:color w:val="000000"/>
              </w:rPr>
              <w:br/>
            </w:r>
            <w:r>
              <w:rPr>
                <w:color w:val="000000"/>
              </w:rPr>
              <w:t>Stabilize Neighborhoods + Increase Owner-Occupancy</w:t>
            </w:r>
          </w:p>
        </w:tc>
      </w:tr>
      <w:tr w:rsidR="000B4D04" w14:paraId="47219DF1" w14:textId="77777777">
        <w:trPr>
          <w:cantSplit/>
        </w:trPr>
        <w:tc>
          <w:tcPr>
            <w:tcW w:w="0" w:type="auto"/>
            <w:vMerge/>
          </w:tcPr>
          <w:p w14:paraId="16056D1B" w14:textId="77777777" w:rsidR="000B4D04" w:rsidRDefault="000B4D04"/>
        </w:tc>
        <w:tc>
          <w:tcPr>
            <w:tcW w:w="0" w:type="auto"/>
          </w:tcPr>
          <w:p w14:paraId="69375BE1" w14:textId="77777777" w:rsidR="000B4D04" w:rsidRDefault="00B90386">
            <w:pPr>
              <w:keepNext/>
              <w:spacing w:before="100" w:after="0"/>
              <w:rPr>
                <w:b/>
              </w:rPr>
            </w:pPr>
            <w:r>
              <w:rPr>
                <w:b/>
              </w:rPr>
              <w:t>Needs Addressed</w:t>
            </w:r>
          </w:p>
        </w:tc>
        <w:tc>
          <w:tcPr>
            <w:tcW w:w="0" w:type="auto"/>
          </w:tcPr>
          <w:p w14:paraId="0BCCB3FD" w14:textId="77777777" w:rsidR="000B4D04" w:rsidRDefault="00B90386">
            <w:pPr>
              <w:spacing w:before="100" w:after="0"/>
            </w:pPr>
            <w:r>
              <w:rPr>
                <w:color w:val="000000"/>
              </w:rPr>
              <w:t>Maintain, Preserve and Improve Housing Stock</w:t>
            </w:r>
            <w:r>
              <w:rPr>
                <w:color w:val="000000"/>
              </w:rPr>
              <w:br/>
              <w:t>Expand Type, Diversity and Supply of Housing</w:t>
            </w:r>
            <w:r>
              <w:rPr>
                <w:color w:val="000000"/>
              </w:rPr>
              <w:br/>
              <w:t>Increase Owner-Occupancy in Target Neighborhoods</w:t>
            </w:r>
            <w:r>
              <w:rPr>
                <w:color w:val="000000"/>
              </w:rPr>
              <w:br/>
              <w:t>Enhance Public Safety and Health</w:t>
            </w:r>
            <w:r>
              <w:rPr>
                <w:color w:val="000000"/>
              </w:rPr>
              <w:br/>
              <w:t>Promote Neighborhood Stabilization</w:t>
            </w:r>
          </w:p>
        </w:tc>
      </w:tr>
      <w:tr w:rsidR="000B4D04" w14:paraId="07C9DEAA" w14:textId="77777777">
        <w:trPr>
          <w:cantSplit/>
        </w:trPr>
        <w:tc>
          <w:tcPr>
            <w:tcW w:w="0" w:type="auto"/>
            <w:vMerge/>
          </w:tcPr>
          <w:p w14:paraId="6FB506C2" w14:textId="77777777" w:rsidR="000B4D04" w:rsidRDefault="000B4D04"/>
        </w:tc>
        <w:tc>
          <w:tcPr>
            <w:tcW w:w="0" w:type="auto"/>
          </w:tcPr>
          <w:p w14:paraId="0ED12303" w14:textId="77777777" w:rsidR="000B4D04" w:rsidRDefault="00B90386">
            <w:pPr>
              <w:keepNext/>
              <w:spacing w:before="100" w:after="0"/>
              <w:rPr>
                <w:b/>
              </w:rPr>
            </w:pPr>
            <w:r>
              <w:rPr>
                <w:b/>
              </w:rPr>
              <w:t>Funding</w:t>
            </w:r>
          </w:p>
        </w:tc>
        <w:tc>
          <w:tcPr>
            <w:tcW w:w="0" w:type="auto"/>
          </w:tcPr>
          <w:p w14:paraId="0838D82D" w14:textId="77777777" w:rsidR="000B4D04" w:rsidRDefault="00B90386">
            <w:pPr>
              <w:spacing w:before="100" w:after="0"/>
            </w:pPr>
            <w:r>
              <w:rPr>
                <w:color w:val="000000"/>
              </w:rPr>
              <w:t>CDBG: $325,000.00</w:t>
            </w:r>
          </w:p>
        </w:tc>
      </w:tr>
      <w:tr w:rsidR="000B4D04" w14:paraId="4982BEFB" w14:textId="77777777">
        <w:trPr>
          <w:cantSplit/>
        </w:trPr>
        <w:tc>
          <w:tcPr>
            <w:tcW w:w="0" w:type="auto"/>
            <w:vMerge/>
          </w:tcPr>
          <w:p w14:paraId="666FC897" w14:textId="77777777" w:rsidR="000B4D04" w:rsidRDefault="000B4D04"/>
        </w:tc>
        <w:tc>
          <w:tcPr>
            <w:tcW w:w="0" w:type="auto"/>
          </w:tcPr>
          <w:p w14:paraId="696F48D5" w14:textId="77777777" w:rsidR="000B4D04" w:rsidRDefault="00B90386">
            <w:pPr>
              <w:keepNext/>
              <w:spacing w:before="100" w:after="0"/>
              <w:rPr>
                <w:b/>
              </w:rPr>
            </w:pPr>
            <w:r>
              <w:rPr>
                <w:b/>
              </w:rPr>
              <w:t>Description</w:t>
            </w:r>
          </w:p>
        </w:tc>
        <w:tc>
          <w:tcPr>
            <w:tcW w:w="0" w:type="auto"/>
          </w:tcPr>
          <w:p w14:paraId="6D49F682" w14:textId="77777777" w:rsidR="000B4D04" w:rsidRDefault="00B90386">
            <w:pPr>
              <w:spacing w:before="100" w:after="0"/>
            </w:pPr>
            <w:r>
              <w:rPr>
                <w:color w:val="000000"/>
              </w:rPr>
              <w:t>Rehabilitation of single-family dwellings to updated Housing Code standards, through the Housing Rehabilitation and Code Correction Program (HRCCP).</w:t>
            </w:r>
          </w:p>
        </w:tc>
      </w:tr>
      <w:tr w:rsidR="000B4D04" w14:paraId="6132BABA" w14:textId="77777777">
        <w:trPr>
          <w:cantSplit/>
        </w:trPr>
        <w:tc>
          <w:tcPr>
            <w:tcW w:w="0" w:type="auto"/>
            <w:vMerge/>
          </w:tcPr>
          <w:p w14:paraId="37E5706F" w14:textId="77777777" w:rsidR="000B4D04" w:rsidRDefault="000B4D04"/>
        </w:tc>
        <w:tc>
          <w:tcPr>
            <w:tcW w:w="0" w:type="auto"/>
          </w:tcPr>
          <w:p w14:paraId="78173693" w14:textId="77777777" w:rsidR="000B4D04" w:rsidRDefault="00B90386">
            <w:pPr>
              <w:keepNext/>
              <w:spacing w:before="100" w:after="0"/>
              <w:rPr>
                <w:b/>
              </w:rPr>
            </w:pPr>
            <w:r>
              <w:rPr>
                <w:b/>
              </w:rPr>
              <w:t>Target Date</w:t>
            </w:r>
          </w:p>
        </w:tc>
        <w:tc>
          <w:tcPr>
            <w:tcW w:w="0" w:type="auto"/>
          </w:tcPr>
          <w:p w14:paraId="2D95A6F4" w14:textId="77777777" w:rsidR="000B4D04" w:rsidRDefault="00B90386">
            <w:pPr>
              <w:spacing w:before="100" w:after="0"/>
            </w:pPr>
            <w:r>
              <w:rPr>
                <w:color w:val="000000"/>
              </w:rPr>
              <w:t>6/30/2026</w:t>
            </w:r>
          </w:p>
        </w:tc>
      </w:tr>
      <w:tr w:rsidR="000B4D04" w14:paraId="3D013F6E" w14:textId="77777777">
        <w:trPr>
          <w:cantSplit/>
        </w:trPr>
        <w:tc>
          <w:tcPr>
            <w:tcW w:w="0" w:type="auto"/>
            <w:vMerge/>
          </w:tcPr>
          <w:p w14:paraId="72325479" w14:textId="77777777" w:rsidR="000B4D04" w:rsidRDefault="000B4D04"/>
        </w:tc>
        <w:tc>
          <w:tcPr>
            <w:tcW w:w="0" w:type="auto"/>
          </w:tcPr>
          <w:p w14:paraId="0FDF9D2C" w14:textId="77777777" w:rsidR="000B4D04" w:rsidRDefault="00B90386">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109D542A" w14:textId="3D854560" w:rsidR="000B4D04" w:rsidRDefault="00B90386">
            <w:pPr>
              <w:spacing w:before="100" w:after="0"/>
            </w:pPr>
            <w:r>
              <w:rPr>
                <w:color w:val="000000"/>
              </w:rPr>
              <w:t>It is est</w:t>
            </w:r>
            <w:r w:rsidR="00772670">
              <w:rPr>
                <w:color w:val="000000"/>
              </w:rPr>
              <w:t>i</w:t>
            </w:r>
            <w:r>
              <w:rPr>
                <w:color w:val="000000"/>
              </w:rPr>
              <w:t>mated that 16 families' units will benefit from single-family housing rehabilitation through the HRCCP program. </w:t>
            </w:r>
          </w:p>
          <w:p w14:paraId="7EB2850E" w14:textId="77777777" w:rsidR="000B4D04" w:rsidRDefault="00B90386">
            <w:pPr>
              <w:spacing w:before="100" w:after="0"/>
            </w:pPr>
            <w:r>
              <w:rPr>
                <w:color w:val="000000"/>
              </w:rPr>
              <w:t>Another 4 households in single-family dwellings are estimated to benefit from CDBG-funded lead water pipe replacement efforts. </w:t>
            </w:r>
          </w:p>
          <w:p w14:paraId="21A753F6" w14:textId="77777777" w:rsidR="000B4D04" w:rsidRDefault="00B90386">
            <w:pPr>
              <w:spacing w:before="100" w:after="0"/>
            </w:pPr>
            <w:r>
              <w:rPr>
                <w:color w:val="000000"/>
              </w:rPr>
              <w:t>Rebuilding Together Greater Haverhill solicits exclusively single-family dwellings owned by elderly or disabled residents who are struggling to maintain their homes.  Their volunteer contractors will assist a planned 6 single-family properties in this upcoming Program Year (PY25).</w:t>
            </w:r>
          </w:p>
          <w:p w14:paraId="2B4CD12C" w14:textId="77777777" w:rsidR="000B4D04" w:rsidRDefault="00B90386">
            <w:pPr>
              <w:spacing w:before="100" w:after="0"/>
            </w:pPr>
            <w:r>
              <w:rPr>
                <w:color w:val="000000"/>
              </w:rPr>
              <w:t>This totals 26 single-family dwellings being rehabilitated through this Project. </w:t>
            </w:r>
          </w:p>
        </w:tc>
      </w:tr>
      <w:tr w:rsidR="000B4D04" w14:paraId="2E3EDE18" w14:textId="77777777">
        <w:trPr>
          <w:cantSplit/>
        </w:trPr>
        <w:tc>
          <w:tcPr>
            <w:tcW w:w="0" w:type="auto"/>
            <w:vMerge/>
          </w:tcPr>
          <w:p w14:paraId="73EB2C82" w14:textId="77777777" w:rsidR="000B4D04" w:rsidRDefault="000B4D04"/>
        </w:tc>
        <w:tc>
          <w:tcPr>
            <w:tcW w:w="0" w:type="auto"/>
          </w:tcPr>
          <w:p w14:paraId="2017775B" w14:textId="77777777" w:rsidR="000B4D04" w:rsidRDefault="00B90386">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3F4AA8EA" w14:textId="6031E886" w:rsidR="000B4D04" w:rsidRDefault="00B90386">
            <w:pPr>
              <w:spacing w:before="100" w:after="0"/>
            </w:pPr>
            <w:r>
              <w:rPr>
                <w:color w:val="000000"/>
              </w:rPr>
              <w:t xml:space="preserve">Most of the Housing Rehabilitation activity will occur in the CDBG Target Area (predominantly inner-city Haverhill).  Exact locations have yet to be determined and will be determined as eligible applications are received.  However, housing rehabilitation efforts are no longer </w:t>
            </w:r>
            <w:r w:rsidR="007F2FB7">
              <w:rPr>
                <w:color w:val="000000"/>
              </w:rPr>
              <w:t>exclusive to the Target-Area</w:t>
            </w:r>
            <w:r>
              <w:rPr>
                <w:color w:val="000000"/>
              </w:rPr>
              <w:t>, although the overall spending goals for the Target Area remain.</w:t>
            </w:r>
          </w:p>
        </w:tc>
      </w:tr>
      <w:tr w:rsidR="000B4D04" w14:paraId="2904D7A6" w14:textId="77777777">
        <w:trPr>
          <w:cantSplit/>
        </w:trPr>
        <w:tc>
          <w:tcPr>
            <w:tcW w:w="0" w:type="auto"/>
            <w:vMerge/>
          </w:tcPr>
          <w:p w14:paraId="3CDB0454" w14:textId="77777777" w:rsidR="000B4D04" w:rsidRDefault="000B4D04"/>
        </w:tc>
        <w:tc>
          <w:tcPr>
            <w:tcW w:w="0" w:type="auto"/>
          </w:tcPr>
          <w:p w14:paraId="3941DA8A" w14:textId="77777777" w:rsidR="000B4D04" w:rsidRDefault="00B90386">
            <w:pPr>
              <w:keepNext/>
              <w:spacing w:before="100" w:after="0"/>
              <w:rPr>
                <w:rFonts w:asciiTheme="minorHAnsi" w:hAnsiTheme="minorHAnsi"/>
                <w:b/>
              </w:rPr>
            </w:pPr>
            <w:r>
              <w:rPr>
                <w:rStyle w:val="Strong"/>
                <w:rFonts w:asciiTheme="minorHAnsi" w:hAnsiTheme="minorHAnsi"/>
              </w:rPr>
              <w:t>Planned Activities</w:t>
            </w:r>
          </w:p>
        </w:tc>
        <w:tc>
          <w:tcPr>
            <w:tcW w:w="0" w:type="auto"/>
          </w:tcPr>
          <w:p w14:paraId="2E69B9AC" w14:textId="77777777" w:rsidR="000B4D04" w:rsidRDefault="00B90386">
            <w:pPr>
              <w:spacing w:before="100" w:after="0"/>
            </w:pPr>
            <w:r>
              <w:rPr>
                <w:color w:val="000000"/>
              </w:rPr>
              <w:t>Rehabilitation of housing code deficient single-family residential dwellings owned by low-moderate income homeowners.  Much of the work centers around fixing roofs, electrical, plumbing, carpentry and heating systems.  Lead water pipe replacement is also considered part of housing rehabilitation activities funded by CDBG.</w:t>
            </w:r>
          </w:p>
        </w:tc>
      </w:tr>
      <w:tr w:rsidR="000B4D04" w14:paraId="7874F0E5" w14:textId="77777777">
        <w:trPr>
          <w:cantSplit/>
        </w:trPr>
        <w:tc>
          <w:tcPr>
            <w:tcW w:w="0" w:type="auto"/>
            <w:vMerge w:val="restart"/>
          </w:tcPr>
          <w:p w14:paraId="39D1BED1" w14:textId="77777777" w:rsidR="000B4D04" w:rsidRDefault="00B90386">
            <w:r>
              <w:rPr>
                <w:b/>
              </w:rPr>
              <w:t>6</w:t>
            </w:r>
          </w:p>
        </w:tc>
        <w:tc>
          <w:tcPr>
            <w:tcW w:w="0" w:type="auto"/>
          </w:tcPr>
          <w:p w14:paraId="3E9224A7" w14:textId="77777777" w:rsidR="000B4D04" w:rsidRDefault="00B90386">
            <w:pPr>
              <w:keepNext/>
              <w:spacing w:before="100" w:after="0"/>
              <w:rPr>
                <w:b/>
              </w:rPr>
            </w:pPr>
            <w:r>
              <w:rPr>
                <w:b/>
              </w:rPr>
              <w:t>Project Name</w:t>
            </w:r>
          </w:p>
        </w:tc>
        <w:tc>
          <w:tcPr>
            <w:tcW w:w="0" w:type="auto"/>
          </w:tcPr>
          <w:p w14:paraId="0794F483" w14:textId="77777777" w:rsidR="000B4D04" w:rsidRDefault="00B90386">
            <w:pPr>
              <w:spacing w:before="100" w:after="0"/>
            </w:pPr>
            <w:r>
              <w:rPr>
                <w:color w:val="000000"/>
              </w:rPr>
              <w:t>Multi-Family Rehabilitation</w:t>
            </w:r>
          </w:p>
        </w:tc>
      </w:tr>
      <w:tr w:rsidR="000B4D04" w14:paraId="6674333F" w14:textId="77777777">
        <w:trPr>
          <w:cantSplit/>
        </w:trPr>
        <w:tc>
          <w:tcPr>
            <w:tcW w:w="0" w:type="auto"/>
            <w:vMerge/>
          </w:tcPr>
          <w:p w14:paraId="394A80F2" w14:textId="77777777" w:rsidR="000B4D04" w:rsidRDefault="000B4D04"/>
        </w:tc>
        <w:tc>
          <w:tcPr>
            <w:tcW w:w="0" w:type="auto"/>
          </w:tcPr>
          <w:p w14:paraId="7A419236" w14:textId="77777777" w:rsidR="000B4D04" w:rsidRDefault="00B90386">
            <w:pPr>
              <w:keepNext/>
              <w:spacing w:before="100" w:after="0"/>
              <w:rPr>
                <w:b/>
              </w:rPr>
            </w:pPr>
            <w:r>
              <w:rPr>
                <w:b/>
              </w:rPr>
              <w:t>Target Area</w:t>
            </w:r>
          </w:p>
        </w:tc>
        <w:tc>
          <w:tcPr>
            <w:tcW w:w="0" w:type="auto"/>
          </w:tcPr>
          <w:p w14:paraId="40931AB4" w14:textId="77777777" w:rsidR="000B4D04" w:rsidRDefault="00B90386">
            <w:pPr>
              <w:spacing w:before="100" w:after="0"/>
            </w:pPr>
            <w:r>
              <w:rPr>
                <w:color w:val="000000"/>
              </w:rPr>
              <w:t>CDBG TARGET AREA</w:t>
            </w:r>
            <w:r>
              <w:rPr>
                <w:color w:val="000000"/>
              </w:rPr>
              <w:br/>
              <w:t>Lower Acre NRSA</w:t>
            </w:r>
            <w:r>
              <w:rPr>
                <w:color w:val="000000"/>
              </w:rPr>
              <w:br/>
              <w:t>Mount Washington NRSA</w:t>
            </w:r>
          </w:p>
        </w:tc>
      </w:tr>
      <w:tr w:rsidR="000B4D04" w14:paraId="2331A84F" w14:textId="77777777">
        <w:trPr>
          <w:cantSplit/>
        </w:trPr>
        <w:tc>
          <w:tcPr>
            <w:tcW w:w="0" w:type="auto"/>
            <w:vMerge/>
          </w:tcPr>
          <w:p w14:paraId="12DED926" w14:textId="77777777" w:rsidR="000B4D04" w:rsidRDefault="000B4D04"/>
        </w:tc>
        <w:tc>
          <w:tcPr>
            <w:tcW w:w="0" w:type="auto"/>
          </w:tcPr>
          <w:p w14:paraId="0A3D3171" w14:textId="77777777" w:rsidR="000B4D04" w:rsidRDefault="00B90386">
            <w:pPr>
              <w:keepNext/>
              <w:spacing w:before="100" w:after="0"/>
              <w:rPr>
                <w:b/>
              </w:rPr>
            </w:pPr>
            <w:r>
              <w:rPr>
                <w:b/>
              </w:rPr>
              <w:t>Goals Supported</w:t>
            </w:r>
          </w:p>
        </w:tc>
        <w:tc>
          <w:tcPr>
            <w:tcW w:w="0" w:type="auto"/>
          </w:tcPr>
          <w:p w14:paraId="689E7D16" w14:textId="77777777" w:rsidR="000B4D04" w:rsidRDefault="00B90386">
            <w:pPr>
              <w:spacing w:before="100" w:after="0"/>
            </w:pPr>
            <w:r>
              <w:rPr>
                <w:color w:val="000000"/>
              </w:rPr>
              <w:t>Maintain Housing Stock</w:t>
            </w:r>
            <w:r>
              <w:rPr>
                <w:color w:val="000000"/>
              </w:rPr>
              <w:br/>
            </w:r>
            <w:r>
              <w:rPr>
                <w:color w:val="000000"/>
              </w:rPr>
              <w:t>Provide Shelter and Services for Homeless</w:t>
            </w:r>
            <w:r>
              <w:rPr>
                <w:color w:val="000000"/>
              </w:rPr>
              <w:br/>
              <w:t>Stabilize Neighborhoods + Increase Owner-Occupancy</w:t>
            </w:r>
          </w:p>
        </w:tc>
      </w:tr>
      <w:tr w:rsidR="000B4D04" w14:paraId="56FFA70D" w14:textId="77777777">
        <w:trPr>
          <w:cantSplit/>
        </w:trPr>
        <w:tc>
          <w:tcPr>
            <w:tcW w:w="0" w:type="auto"/>
            <w:vMerge/>
          </w:tcPr>
          <w:p w14:paraId="4312A715" w14:textId="77777777" w:rsidR="000B4D04" w:rsidRDefault="000B4D04"/>
        </w:tc>
        <w:tc>
          <w:tcPr>
            <w:tcW w:w="0" w:type="auto"/>
          </w:tcPr>
          <w:p w14:paraId="3DA095F0" w14:textId="77777777" w:rsidR="000B4D04" w:rsidRDefault="00B90386">
            <w:pPr>
              <w:keepNext/>
              <w:spacing w:before="100" w:after="0"/>
              <w:rPr>
                <w:b/>
              </w:rPr>
            </w:pPr>
            <w:r>
              <w:rPr>
                <w:b/>
              </w:rPr>
              <w:t>Needs Addressed</w:t>
            </w:r>
          </w:p>
        </w:tc>
        <w:tc>
          <w:tcPr>
            <w:tcW w:w="0" w:type="auto"/>
          </w:tcPr>
          <w:p w14:paraId="54A4F2B3" w14:textId="77777777" w:rsidR="000B4D04" w:rsidRDefault="00B90386">
            <w:pPr>
              <w:spacing w:before="100" w:after="0"/>
            </w:pPr>
            <w:r>
              <w:rPr>
                <w:color w:val="000000"/>
              </w:rPr>
              <w:t>Maintain, Preserve and Improve Housing Stock</w:t>
            </w:r>
            <w:r>
              <w:rPr>
                <w:color w:val="000000"/>
              </w:rPr>
              <w:br/>
              <w:t>Expand Type, Diversity and Supply of Housing</w:t>
            </w:r>
            <w:r>
              <w:rPr>
                <w:color w:val="000000"/>
              </w:rPr>
              <w:br/>
              <w:t>Increase Owner-Occupancy in Target Neighborhoods</w:t>
            </w:r>
            <w:r>
              <w:rPr>
                <w:color w:val="000000"/>
              </w:rPr>
              <w:br/>
              <w:t>Enhance Public Safety and Health</w:t>
            </w:r>
            <w:r>
              <w:rPr>
                <w:color w:val="000000"/>
              </w:rPr>
              <w:br/>
              <w:t>Promote Neighborhood Stabilization</w:t>
            </w:r>
          </w:p>
        </w:tc>
      </w:tr>
      <w:tr w:rsidR="000B4D04" w14:paraId="2F2783A5" w14:textId="77777777">
        <w:trPr>
          <w:cantSplit/>
        </w:trPr>
        <w:tc>
          <w:tcPr>
            <w:tcW w:w="0" w:type="auto"/>
            <w:vMerge/>
          </w:tcPr>
          <w:p w14:paraId="28B87863" w14:textId="77777777" w:rsidR="000B4D04" w:rsidRDefault="000B4D04"/>
        </w:tc>
        <w:tc>
          <w:tcPr>
            <w:tcW w:w="0" w:type="auto"/>
          </w:tcPr>
          <w:p w14:paraId="47EF3F90" w14:textId="77777777" w:rsidR="000B4D04" w:rsidRDefault="00B90386">
            <w:pPr>
              <w:keepNext/>
              <w:spacing w:before="100" w:after="0"/>
              <w:rPr>
                <w:b/>
              </w:rPr>
            </w:pPr>
            <w:r>
              <w:rPr>
                <w:b/>
              </w:rPr>
              <w:t>Funding</w:t>
            </w:r>
          </w:p>
        </w:tc>
        <w:tc>
          <w:tcPr>
            <w:tcW w:w="0" w:type="auto"/>
          </w:tcPr>
          <w:p w14:paraId="406649BC" w14:textId="77777777" w:rsidR="000B4D04" w:rsidRDefault="00B90386">
            <w:pPr>
              <w:spacing w:before="100" w:after="0"/>
            </w:pPr>
            <w:r>
              <w:rPr>
                <w:color w:val="000000"/>
              </w:rPr>
              <w:t>CDBG: $216,666.00</w:t>
            </w:r>
          </w:p>
        </w:tc>
      </w:tr>
      <w:tr w:rsidR="000B4D04" w14:paraId="2FA3DA60" w14:textId="77777777">
        <w:trPr>
          <w:cantSplit/>
        </w:trPr>
        <w:tc>
          <w:tcPr>
            <w:tcW w:w="0" w:type="auto"/>
            <w:vMerge/>
          </w:tcPr>
          <w:p w14:paraId="19F21C52" w14:textId="77777777" w:rsidR="000B4D04" w:rsidRDefault="000B4D04"/>
        </w:tc>
        <w:tc>
          <w:tcPr>
            <w:tcW w:w="0" w:type="auto"/>
          </w:tcPr>
          <w:p w14:paraId="78354549" w14:textId="77777777" w:rsidR="000B4D04" w:rsidRDefault="00B90386">
            <w:pPr>
              <w:keepNext/>
              <w:spacing w:before="100" w:after="0"/>
              <w:rPr>
                <w:b/>
              </w:rPr>
            </w:pPr>
            <w:r>
              <w:rPr>
                <w:b/>
              </w:rPr>
              <w:t>Description</w:t>
            </w:r>
          </w:p>
        </w:tc>
        <w:tc>
          <w:tcPr>
            <w:tcW w:w="0" w:type="auto"/>
          </w:tcPr>
          <w:p w14:paraId="2EAFF702" w14:textId="77777777" w:rsidR="000B4D04" w:rsidRDefault="00B90386">
            <w:pPr>
              <w:spacing w:before="100" w:after="0"/>
            </w:pPr>
            <w:r>
              <w:rPr>
                <w:color w:val="000000"/>
              </w:rPr>
              <w:t>Rehabilitation of owner-occupied dwellings with rental units</w:t>
            </w:r>
          </w:p>
        </w:tc>
      </w:tr>
      <w:tr w:rsidR="000B4D04" w14:paraId="0B3009A8" w14:textId="77777777">
        <w:trPr>
          <w:cantSplit/>
        </w:trPr>
        <w:tc>
          <w:tcPr>
            <w:tcW w:w="0" w:type="auto"/>
            <w:vMerge/>
          </w:tcPr>
          <w:p w14:paraId="3BFD55C3" w14:textId="77777777" w:rsidR="000B4D04" w:rsidRDefault="000B4D04"/>
        </w:tc>
        <w:tc>
          <w:tcPr>
            <w:tcW w:w="0" w:type="auto"/>
          </w:tcPr>
          <w:p w14:paraId="00CFFF39" w14:textId="77777777" w:rsidR="000B4D04" w:rsidRDefault="00B90386">
            <w:pPr>
              <w:keepNext/>
              <w:spacing w:before="100" w:after="0"/>
              <w:rPr>
                <w:b/>
              </w:rPr>
            </w:pPr>
            <w:r>
              <w:rPr>
                <w:b/>
              </w:rPr>
              <w:t>Target Date</w:t>
            </w:r>
          </w:p>
        </w:tc>
        <w:tc>
          <w:tcPr>
            <w:tcW w:w="0" w:type="auto"/>
          </w:tcPr>
          <w:p w14:paraId="467ED7F7" w14:textId="77777777" w:rsidR="000B4D04" w:rsidRDefault="00B90386">
            <w:pPr>
              <w:spacing w:before="100" w:after="0"/>
            </w:pPr>
            <w:r>
              <w:rPr>
                <w:color w:val="000000"/>
              </w:rPr>
              <w:t>6/30/2026</w:t>
            </w:r>
          </w:p>
        </w:tc>
      </w:tr>
      <w:tr w:rsidR="000B4D04" w14:paraId="69C09A4B" w14:textId="77777777">
        <w:trPr>
          <w:cantSplit/>
        </w:trPr>
        <w:tc>
          <w:tcPr>
            <w:tcW w:w="0" w:type="auto"/>
            <w:vMerge/>
          </w:tcPr>
          <w:p w14:paraId="4CEF38B0" w14:textId="77777777" w:rsidR="000B4D04" w:rsidRDefault="000B4D04"/>
        </w:tc>
        <w:tc>
          <w:tcPr>
            <w:tcW w:w="0" w:type="auto"/>
          </w:tcPr>
          <w:p w14:paraId="105E9CCB" w14:textId="77777777" w:rsidR="000B4D04" w:rsidRDefault="00B90386">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18B1DDF5" w14:textId="77777777" w:rsidR="000B4D04" w:rsidRDefault="00B90386">
            <w:pPr>
              <w:spacing w:before="100" w:after="0"/>
            </w:pPr>
            <w:r>
              <w:rPr>
                <w:color w:val="000000"/>
              </w:rPr>
              <w:t>6 multi-family rehabilitation projects are estimated for Program Year 2025, with 8 additional rental units (a little more than 1.0 per project) anticipated.  A couple of multi-family lead pipe removal projects are also expected.</w:t>
            </w:r>
          </w:p>
          <w:p w14:paraId="7A9CBB0B" w14:textId="77777777" w:rsidR="000B4D04" w:rsidRDefault="00B90386">
            <w:pPr>
              <w:spacing w:before="100" w:after="0"/>
            </w:pPr>
            <w:r>
              <w:rPr>
                <w:color w:val="000000"/>
              </w:rPr>
              <w:t>In total, an estimated 16 families would benefit from this Project. </w:t>
            </w:r>
          </w:p>
        </w:tc>
      </w:tr>
      <w:tr w:rsidR="000B4D04" w14:paraId="4FAC263A" w14:textId="77777777">
        <w:trPr>
          <w:cantSplit/>
        </w:trPr>
        <w:tc>
          <w:tcPr>
            <w:tcW w:w="0" w:type="auto"/>
            <w:vMerge/>
          </w:tcPr>
          <w:p w14:paraId="1CEC0E7B" w14:textId="77777777" w:rsidR="000B4D04" w:rsidRDefault="000B4D04"/>
        </w:tc>
        <w:tc>
          <w:tcPr>
            <w:tcW w:w="0" w:type="auto"/>
          </w:tcPr>
          <w:p w14:paraId="26F4595B" w14:textId="77777777" w:rsidR="000B4D04" w:rsidRDefault="00B90386">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0714B547" w14:textId="77777777" w:rsidR="000B4D04" w:rsidRDefault="00B90386">
            <w:pPr>
              <w:spacing w:before="100" w:after="0"/>
            </w:pPr>
            <w:r>
              <w:rPr>
                <w:color w:val="000000"/>
              </w:rPr>
              <w:t>CDBG funds are prioritized for-- and most multi-family dwellings are found primarily in-- the predominantly inner-city CDBG Target Area. </w:t>
            </w:r>
          </w:p>
          <w:p w14:paraId="407B27A1" w14:textId="1294F880" w:rsidR="000B4D04" w:rsidRDefault="00B90386">
            <w:pPr>
              <w:spacing w:before="100" w:after="0"/>
            </w:pPr>
            <w:r>
              <w:rPr>
                <w:color w:val="000000"/>
              </w:rPr>
              <w:t xml:space="preserve">Exact locations have yet to be determined and will be selected as eligible applications are received.  However, housing rehabilitation efforts are no longer </w:t>
            </w:r>
            <w:r w:rsidR="007F2FB7">
              <w:rPr>
                <w:color w:val="000000"/>
              </w:rPr>
              <w:t>exclusive to the Target-Area</w:t>
            </w:r>
            <w:r>
              <w:rPr>
                <w:color w:val="000000"/>
              </w:rPr>
              <w:t>, although the overall spending goals for the Target Area remain.</w:t>
            </w:r>
          </w:p>
        </w:tc>
      </w:tr>
      <w:tr w:rsidR="000B4D04" w14:paraId="72EDACB3" w14:textId="77777777">
        <w:trPr>
          <w:cantSplit/>
        </w:trPr>
        <w:tc>
          <w:tcPr>
            <w:tcW w:w="0" w:type="auto"/>
            <w:vMerge/>
          </w:tcPr>
          <w:p w14:paraId="1A4357A3" w14:textId="77777777" w:rsidR="000B4D04" w:rsidRDefault="000B4D04"/>
        </w:tc>
        <w:tc>
          <w:tcPr>
            <w:tcW w:w="0" w:type="auto"/>
          </w:tcPr>
          <w:p w14:paraId="2485D684" w14:textId="77777777" w:rsidR="000B4D04" w:rsidRDefault="00B90386">
            <w:pPr>
              <w:keepNext/>
              <w:spacing w:before="100" w:after="0"/>
              <w:rPr>
                <w:rFonts w:asciiTheme="minorHAnsi" w:hAnsiTheme="minorHAnsi"/>
                <w:b/>
              </w:rPr>
            </w:pPr>
            <w:r>
              <w:rPr>
                <w:rStyle w:val="Strong"/>
                <w:rFonts w:asciiTheme="minorHAnsi" w:hAnsiTheme="minorHAnsi"/>
              </w:rPr>
              <w:t>Planned Activities</w:t>
            </w:r>
          </w:p>
        </w:tc>
        <w:tc>
          <w:tcPr>
            <w:tcW w:w="0" w:type="auto"/>
          </w:tcPr>
          <w:p w14:paraId="3D8358AD" w14:textId="77777777" w:rsidR="000B4D04" w:rsidRDefault="00B90386">
            <w:pPr>
              <w:spacing w:before="100" w:after="0"/>
            </w:pPr>
            <w:r>
              <w:rPr>
                <w:color w:val="000000"/>
              </w:rPr>
              <w:t>Rehabilitation of housing code deficient multi-family residential dwellings owned by low-moderate income homeowners.  Much of the work centers around fixing roofs, electrical, plumbing, carpentry and heating systems.  Lead water pipe replacement is also considered part of housing rehabilitation activities funded by CDBG.  Work also occurs in rental units to bring them up to Code.</w:t>
            </w:r>
          </w:p>
        </w:tc>
      </w:tr>
      <w:tr w:rsidR="000B4D04" w14:paraId="6FE8B7C1" w14:textId="77777777">
        <w:trPr>
          <w:cantSplit/>
        </w:trPr>
        <w:tc>
          <w:tcPr>
            <w:tcW w:w="0" w:type="auto"/>
            <w:vMerge w:val="restart"/>
          </w:tcPr>
          <w:p w14:paraId="230756A6" w14:textId="77777777" w:rsidR="000B4D04" w:rsidRDefault="00B90386">
            <w:r>
              <w:rPr>
                <w:b/>
              </w:rPr>
              <w:t>7</w:t>
            </w:r>
          </w:p>
        </w:tc>
        <w:tc>
          <w:tcPr>
            <w:tcW w:w="0" w:type="auto"/>
          </w:tcPr>
          <w:p w14:paraId="6B93EF73" w14:textId="77777777" w:rsidR="000B4D04" w:rsidRDefault="00B90386">
            <w:pPr>
              <w:keepNext/>
              <w:spacing w:before="100" w:after="0"/>
              <w:rPr>
                <w:b/>
              </w:rPr>
            </w:pPr>
            <w:r>
              <w:rPr>
                <w:b/>
              </w:rPr>
              <w:t>Project Name</w:t>
            </w:r>
          </w:p>
        </w:tc>
        <w:tc>
          <w:tcPr>
            <w:tcW w:w="0" w:type="auto"/>
          </w:tcPr>
          <w:p w14:paraId="2556041E" w14:textId="77777777" w:rsidR="000B4D04" w:rsidRDefault="00B90386">
            <w:pPr>
              <w:spacing w:before="100" w:after="0"/>
            </w:pPr>
            <w:r>
              <w:rPr>
                <w:color w:val="000000"/>
              </w:rPr>
              <w:t>Public Services</w:t>
            </w:r>
          </w:p>
        </w:tc>
      </w:tr>
      <w:tr w:rsidR="000B4D04" w14:paraId="7284C475" w14:textId="77777777">
        <w:trPr>
          <w:cantSplit/>
        </w:trPr>
        <w:tc>
          <w:tcPr>
            <w:tcW w:w="0" w:type="auto"/>
            <w:vMerge/>
          </w:tcPr>
          <w:p w14:paraId="4DDE648B" w14:textId="77777777" w:rsidR="000B4D04" w:rsidRDefault="000B4D04"/>
        </w:tc>
        <w:tc>
          <w:tcPr>
            <w:tcW w:w="0" w:type="auto"/>
          </w:tcPr>
          <w:p w14:paraId="67C40508" w14:textId="77777777" w:rsidR="000B4D04" w:rsidRDefault="00B90386">
            <w:pPr>
              <w:keepNext/>
              <w:spacing w:before="100" w:after="0"/>
              <w:rPr>
                <w:b/>
              </w:rPr>
            </w:pPr>
            <w:r>
              <w:rPr>
                <w:b/>
              </w:rPr>
              <w:t>Target Area</w:t>
            </w:r>
          </w:p>
        </w:tc>
        <w:tc>
          <w:tcPr>
            <w:tcW w:w="0" w:type="auto"/>
          </w:tcPr>
          <w:p w14:paraId="6601EA42" w14:textId="77777777" w:rsidR="000B4D04" w:rsidRDefault="00B90386">
            <w:pPr>
              <w:spacing w:before="100" w:after="0"/>
            </w:pPr>
            <w:r>
              <w:rPr>
                <w:color w:val="000000"/>
              </w:rPr>
              <w:t>CDBG TARGET AREA</w:t>
            </w:r>
            <w:r>
              <w:rPr>
                <w:color w:val="000000"/>
              </w:rPr>
              <w:br/>
            </w:r>
            <w:r>
              <w:rPr>
                <w:color w:val="000000"/>
              </w:rPr>
              <w:t>Lower Acre NRSA</w:t>
            </w:r>
            <w:r>
              <w:rPr>
                <w:color w:val="000000"/>
              </w:rPr>
              <w:br/>
              <w:t>Mount Washington NRSA</w:t>
            </w:r>
          </w:p>
        </w:tc>
      </w:tr>
      <w:tr w:rsidR="000B4D04" w14:paraId="1D762835" w14:textId="77777777">
        <w:trPr>
          <w:cantSplit/>
        </w:trPr>
        <w:tc>
          <w:tcPr>
            <w:tcW w:w="0" w:type="auto"/>
            <w:vMerge/>
          </w:tcPr>
          <w:p w14:paraId="6A71BE94" w14:textId="77777777" w:rsidR="000B4D04" w:rsidRDefault="000B4D04"/>
        </w:tc>
        <w:tc>
          <w:tcPr>
            <w:tcW w:w="0" w:type="auto"/>
          </w:tcPr>
          <w:p w14:paraId="28A91A32" w14:textId="77777777" w:rsidR="000B4D04" w:rsidRDefault="00B90386">
            <w:pPr>
              <w:keepNext/>
              <w:spacing w:before="100" w:after="0"/>
              <w:rPr>
                <w:b/>
              </w:rPr>
            </w:pPr>
            <w:r>
              <w:rPr>
                <w:b/>
              </w:rPr>
              <w:t>Goals Supported</w:t>
            </w:r>
          </w:p>
        </w:tc>
        <w:tc>
          <w:tcPr>
            <w:tcW w:w="0" w:type="auto"/>
          </w:tcPr>
          <w:p w14:paraId="7A5EAF40" w14:textId="77777777" w:rsidR="000B4D04" w:rsidRDefault="00B90386">
            <w:pPr>
              <w:spacing w:before="100" w:after="0"/>
            </w:pPr>
            <w:r>
              <w:rPr>
                <w:color w:val="000000"/>
              </w:rPr>
              <w:t>Provide Shelter and Services for Homeless</w:t>
            </w:r>
            <w:r>
              <w:rPr>
                <w:color w:val="000000"/>
              </w:rPr>
              <w:br/>
              <w:t>Provide other non-housing necessities</w:t>
            </w:r>
            <w:r>
              <w:rPr>
                <w:color w:val="000000"/>
              </w:rPr>
              <w:br/>
              <w:t>Stabilize Neighborhoods + Increase Owner-Occupancy</w:t>
            </w:r>
          </w:p>
        </w:tc>
      </w:tr>
      <w:tr w:rsidR="000B4D04" w14:paraId="5DD4B688" w14:textId="77777777">
        <w:trPr>
          <w:cantSplit/>
        </w:trPr>
        <w:tc>
          <w:tcPr>
            <w:tcW w:w="0" w:type="auto"/>
            <w:vMerge/>
          </w:tcPr>
          <w:p w14:paraId="58F139C4" w14:textId="77777777" w:rsidR="000B4D04" w:rsidRDefault="000B4D04"/>
        </w:tc>
        <w:tc>
          <w:tcPr>
            <w:tcW w:w="0" w:type="auto"/>
          </w:tcPr>
          <w:p w14:paraId="3941FD1A" w14:textId="77777777" w:rsidR="000B4D04" w:rsidRDefault="00B90386">
            <w:pPr>
              <w:keepNext/>
              <w:spacing w:before="100" w:after="0"/>
              <w:rPr>
                <w:b/>
              </w:rPr>
            </w:pPr>
            <w:r>
              <w:rPr>
                <w:b/>
              </w:rPr>
              <w:t>Needs Addressed</w:t>
            </w:r>
          </w:p>
        </w:tc>
        <w:tc>
          <w:tcPr>
            <w:tcW w:w="0" w:type="auto"/>
          </w:tcPr>
          <w:p w14:paraId="3397B3AD" w14:textId="77777777" w:rsidR="000B4D04" w:rsidRDefault="00B90386">
            <w:pPr>
              <w:spacing w:before="100" w:after="0"/>
            </w:pPr>
            <w:r>
              <w:rPr>
                <w:color w:val="000000"/>
              </w:rPr>
              <w:t>Enhance Public Safety and Health</w:t>
            </w:r>
            <w:r>
              <w:rPr>
                <w:color w:val="000000"/>
              </w:rPr>
              <w:br/>
              <w:t>Provide for Non-Housing-related Basic Needs</w:t>
            </w:r>
            <w:r>
              <w:rPr>
                <w:color w:val="000000"/>
              </w:rPr>
              <w:br/>
              <w:t>Encourage Economic + Workforce Development</w:t>
            </w:r>
            <w:r>
              <w:rPr>
                <w:color w:val="000000"/>
              </w:rPr>
              <w:br/>
              <w:t>Promote Neighborhood Stabilization</w:t>
            </w:r>
            <w:r>
              <w:rPr>
                <w:color w:val="000000"/>
              </w:rPr>
              <w:br/>
              <w:t>Connection to Resources and Economic Opportunities</w:t>
            </w:r>
          </w:p>
        </w:tc>
      </w:tr>
      <w:tr w:rsidR="000B4D04" w14:paraId="67AE165D" w14:textId="77777777">
        <w:trPr>
          <w:cantSplit/>
        </w:trPr>
        <w:tc>
          <w:tcPr>
            <w:tcW w:w="0" w:type="auto"/>
            <w:vMerge/>
          </w:tcPr>
          <w:p w14:paraId="446B7292" w14:textId="77777777" w:rsidR="000B4D04" w:rsidRDefault="000B4D04"/>
        </w:tc>
        <w:tc>
          <w:tcPr>
            <w:tcW w:w="0" w:type="auto"/>
          </w:tcPr>
          <w:p w14:paraId="69172BD8" w14:textId="77777777" w:rsidR="000B4D04" w:rsidRDefault="00B90386">
            <w:pPr>
              <w:keepNext/>
              <w:spacing w:before="100" w:after="0"/>
              <w:rPr>
                <w:b/>
              </w:rPr>
            </w:pPr>
            <w:r>
              <w:rPr>
                <w:b/>
              </w:rPr>
              <w:t>Funding</w:t>
            </w:r>
          </w:p>
        </w:tc>
        <w:tc>
          <w:tcPr>
            <w:tcW w:w="0" w:type="auto"/>
          </w:tcPr>
          <w:p w14:paraId="38F9F162" w14:textId="77777777" w:rsidR="000B4D04" w:rsidRDefault="00B90386">
            <w:pPr>
              <w:spacing w:before="100" w:after="0"/>
            </w:pPr>
            <w:r>
              <w:rPr>
                <w:color w:val="000000"/>
              </w:rPr>
              <w:t>CDBG: $199,500.00</w:t>
            </w:r>
          </w:p>
        </w:tc>
      </w:tr>
      <w:tr w:rsidR="000B4D04" w14:paraId="687B4095" w14:textId="77777777">
        <w:trPr>
          <w:cantSplit/>
        </w:trPr>
        <w:tc>
          <w:tcPr>
            <w:tcW w:w="0" w:type="auto"/>
            <w:vMerge/>
          </w:tcPr>
          <w:p w14:paraId="1C9CDEDB" w14:textId="77777777" w:rsidR="000B4D04" w:rsidRDefault="000B4D04"/>
        </w:tc>
        <w:tc>
          <w:tcPr>
            <w:tcW w:w="0" w:type="auto"/>
          </w:tcPr>
          <w:p w14:paraId="491E2EB5" w14:textId="77777777" w:rsidR="000B4D04" w:rsidRDefault="00B90386">
            <w:pPr>
              <w:keepNext/>
              <w:spacing w:before="100" w:after="0"/>
              <w:rPr>
                <w:b/>
              </w:rPr>
            </w:pPr>
            <w:r>
              <w:rPr>
                <w:b/>
              </w:rPr>
              <w:t>Description</w:t>
            </w:r>
          </w:p>
        </w:tc>
        <w:tc>
          <w:tcPr>
            <w:tcW w:w="0" w:type="auto"/>
          </w:tcPr>
          <w:p w14:paraId="25F2A39B" w14:textId="77777777" w:rsidR="000B4D04" w:rsidRDefault="00B90386">
            <w:pPr>
              <w:spacing w:before="100" w:after="0"/>
            </w:pPr>
            <w:r>
              <w:rPr>
                <w:color w:val="000000"/>
              </w:rPr>
              <w:t>Activities to help low-to-moderate income individuals and households with services offered by non-profit subrecipients</w:t>
            </w:r>
          </w:p>
        </w:tc>
      </w:tr>
      <w:tr w:rsidR="000B4D04" w14:paraId="696253C4" w14:textId="77777777">
        <w:trPr>
          <w:cantSplit/>
        </w:trPr>
        <w:tc>
          <w:tcPr>
            <w:tcW w:w="0" w:type="auto"/>
            <w:vMerge/>
          </w:tcPr>
          <w:p w14:paraId="5B6974B6" w14:textId="77777777" w:rsidR="000B4D04" w:rsidRDefault="000B4D04"/>
        </w:tc>
        <w:tc>
          <w:tcPr>
            <w:tcW w:w="0" w:type="auto"/>
          </w:tcPr>
          <w:p w14:paraId="77AF4920" w14:textId="77777777" w:rsidR="000B4D04" w:rsidRDefault="00B90386">
            <w:pPr>
              <w:keepNext/>
              <w:spacing w:before="100" w:after="0"/>
              <w:rPr>
                <w:b/>
              </w:rPr>
            </w:pPr>
            <w:r>
              <w:rPr>
                <w:b/>
              </w:rPr>
              <w:t>Target Date</w:t>
            </w:r>
          </w:p>
        </w:tc>
        <w:tc>
          <w:tcPr>
            <w:tcW w:w="0" w:type="auto"/>
          </w:tcPr>
          <w:p w14:paraId="1A9536C1" w14:textId="77777777" w:rsidR="000B4D04" w:rsidRDefault="00B90386">
            <w:pPr>
              <w:spacing w:before="100" w:after="0"/>
            </w:pPr>
            <w:r>
              <w:rPr>
                <w:color w:val="000000"/>
              </w:rPr>
              <w:t>6/30/2026</w:t>
            </w:r>
          </w:p>
        </w:tc>
      </w:tr>
      <w:tr w:rsidR="000B4D04" w14:paraId="00AC3D13" w14:textId="77777777">
        <w:trPr>
          <w:cantSplit/>
        </w:trPr>
        <w:tc>
          <w:tcPr>
            <w:tcW w:w="0" w:type="auto"/>
            <w:vMerge/>
          </w:tcPr>
          <w:p w14:paraId="7C34753E" w14:textId="77777777" w:rsidR="000B4D04" w:rsidRDefault="000B4D04"/>
        </w:tc>
        <w:tc>
          <w:tcPr>
            <w:tcW w:w="0" w:type="auto"/>
          </w:tcPr>
          <w:p w14:paraId="0382D313" w14:textId="77777777" w:rsidR="000B4D04" w:rsidRDefault="00B90386">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4CE823A5" w14:textId="77777777" w:rsidR="000B4D04" w:rsidRDefault="00B90386">
            <w:pPr>
              <w:spacing w:before="100" w:after="0"/>
            </w:pPr>
            <w:r>
              <w:rPr>
                <w:color w:val="000000"/>
              </w:rPr>
              <w:t>It is estimated that 3,476 individuals and households will benefit from these Public Service activities, if all projects meet their goals.</w:t>
            </w:r>
          </w:p>
        </w:tc>
      </w:tr>
      <w:tr w:rsidR="000B4D04" w14:paraId="58FDF2A0" w14:textId="77777777">
        <w:trPr>
          <w:cantSplit/>
        </w:trPr>
        <w:tc>
          <w:tcPr>
            <w:tcW w:w="0" w:type="auto"/>
            <w:vMerge/>
          </w:tcPr>
          <w:p w14:paraId="6AAFA3FE" w14:textId="77777777" w:rsidR="000B4D04" w:rsidRDefault="000B4D04"/>
        </w:tc>
        <w:tc>
          <w:tcPr>
            <w:tcW w:w="0" w:type="auto"/>
          </w:tcPr>
          <w:p w14:paraId="6F3339EA" w14:textId="77777777" w:rsidR="000B4D04" w:rsidRDefault="00B90386">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1B41A7DE" w14:textId="77777777" w:rsidR="000B4D04" w:rsidRDefault="00B90386">
            <w:pPr>
              <w:spacing w:before="100" w:after="0"/>
            </w:pPr>
            <w:r>
              <w:rPr>
                <w:color w:val="000000"/>
              </w:rPr>
              <w:t>Activities will occur around the City, with most in the Target Area.</w:t>
            </w:r>
          </w:p>
          <w:p w14:paraId="40D1ABD1" w14:textId="77777777" w:rsidR="000B4D04" w:rsidRDefault="00B90386">
            <w:pPr>
              <w:spacing w:before="100" w:after="0"/>
            </w:pPr>
            <w:r>
              <w:rPr>
                <w:color w:val="000000"/>
              </w:rPr>
              <w:t>Public Service activities relating to the needs of homeless individuals are as follows:</w:t>
            </w:r>
          </w:p>
          <w:p w14:paraId="46B9454C" w14:textId="77777777" w:rsidR="000B4D04" w:rsidRDefault="00B90386">
            <w:pPr>
              <w:spacing w:before="100" w:after="0"/>
            </w:pPr>
            <w:r>
              <w:rPr>
                <w:color w:val="000000"/>
              </w:rPr>
              <w:t>-Emmaus' Mitch's Place Emergency Overnight Shelter (the main overnight shelter in the city, located in the Lower Acre), serving a goal of 138 unduplicated individuals with $12,225 in CDBG funding.</w:t>
            </w:r>
          </w:p>
          <w:p w14:paraId="4CA43C51" w14:textId="77777777" w:rsidR="000B4D04" w:rsidRDefault="00B90386">
            <w:pPr>
              <w:spacing w:before="100" w:after="0"/>
            </w:pPr>
            <w:r>
              <w:rPr>
                <w:color w:val="000000"/>
              </w:rPr>
              <w:t>-Community Action's Homeless Drop-In Center, operating five mornings a week in the basement of the Universalist Unitarian Church in the Highlands and Lower Acre areas, serving a goal of 85 indigent individuals with $13,225 in CDBG funding.</w:t>
            </w:r>
          </w:p>
          <w:p w14:paraId="53AAC2BF" w14:textId="77777777" w:rsidR="000B4D04" w:rsidRDefault="00B90386">
            <w:pPr>
              <w:spacing w:before="100" w:after="0"/>
            </w:pPr>
            <w:r>
              <w:rPr>
                <w:color w:val="000000"/>
              </w:rPr>
              <w:t>-Common Ground Ministries afternoon programs at its Lower Acre location, including the Common Ground Cafe program, serving a goal of 95 homeless individuals with $10,000 in CDBG support.</w:t>
            </w:r>
          </w:p>
        </w:tc>
      </w:tr>
      <w:tr w:rsidR="000B4D04" w14:paraId="0E0CDF22" w14:textId="77777777">
        <w:trPr>
          <w:cantSplit/>
        </w:trPr>
        <w:tc>
          <w:tcPr>
            <w:tcW w:w="0" w:type="auto"/>
            <w:vMerge/>
          </w:tcPr>
          <w:p w14:paraId="2151CAC7" w14:textId="77777777" w:rsidR="000B4D04" w:rsidRDefault="000B4D04"/>
        </w:tc>
        <w:tc>
          <w:tcPr>
            <w:tcW w:w="0" w:type="auto"/>
          </w:tcPr>
          <w:p w14:paraId="59DD0849" w14:textId="77777777" w:rsidR="000B4D04" w:rsidRDefault="00B90386">
            <w:pPr>
              <w:keepNext/>
              <w:spacing w:before="100" w:after="0"/>
              <w:rPr>
                <w:rFonts w:asciiTheme="minorHAnsi" w:hAnsiTheme="minorHAnsi"/>
                <w:b/>
              </w:rPr>
            </w:pPr>
            <w:r>
              <w:rPr>
                <w:rStyle w:val="Strong"/>
                <w:rFonts w:asciiTheme="minorHAnsi" w:hAnsiTheme="minorHAnsi"/>
              </w:rPr>
              <w:t>Planned Activities</w:t>
            </w:r>
          </w:p>
        </w:tc>
        <w:tc>
          <w:tcPr>
            <w:tcW w:w="0" w:type="auto"/>
          </w:tcPr>
          <w:p w14:paraId="0F93CA1D" w14:textId="77777777" w:rsidR="000B4D04" w:rsidRDefault="00B90386">
            <w:pPr>
              <w:spacing w:before="100" w:after="0"/>
            </w:pPr>
            <w:r>
              <w:rPr>
                <w:color w:val="000000"/>
              </w:rPr>
              <w:t>-All Saints Parish Society of Saint Vincent dePaul- Mount Washington Family Assistance Program - supporting 20 neighborhood residents with utility and rent assistance with $10,000 in CDBG funds;</w:t>
            </w:r>
          </w:p>
          <w:p w14:paraId="33BD7C19" w14:textId="77777777" w:rsidR="000B4D04" w:rsidRDefault="00B90386">
            <w:pPr>
              <w:spacing w:before="100" w:after="0"/>
            </w:pPr>
            <w:r>
              <w:rPr>
                <w:color w:val="000000"/>
              </w:rPr>
              <w:t>-Pregnancy Care Center- Mother/Child Food + Clothing program- supporting a goal of 4 low-income single and or/teen mothers with $2,500 in CDBG funds for food, clothing, diapers, infant clothing, furniture, baby formula and other items;</w:t>
            </w:r>
          </w:p>
          <w:p w14:paraId="074EA274" w14:textId="77777777" w:rsidR="000B4D04" w:rsidRDefault="00B90386">
            <w:pPr>
              <w:spacing w:before="100" w:after="0"/>
            </w:pPr>
            <w:r>
              <w:rPr>
                <w:color w:val="000000"/>
              </w:rPr>
              <w:t>-Sarah's Place- Keeping Elder Participants Active- providing daily transportation to meals, companionship and enrichment activities to a goal of 52 frail, homebound elders at their Downtown facility through $12,225 in CDBG funds;</w:t>
            </w:r>
          </w:p>
          <w:p w14:paraId="6EBAE7AC" w14:textId="77777777" w:rsidR="000B4D04" w:rsidRDefault="00B90386">
            <w:pPr>
              <w:spacing w:before="100" w:after="0"/>
            </w:pPr>
            <w:r>
              <w:rPr>
                <w:color w:val="000000"/>
              </w:rPr>
              <w:t>-Bethany Community Services- Senior Meals Program- feeding at least 21 homebound senior residents in their units regularly with $5,000 in CDBG support;</w:t>
            </w:r>
          </w:p>
          <w:p w14:paraId="13569FC8" w14:textId="77777777" w:rsidR="000B4D04" w:rsidRDefault="00B90386">
            <w:pPr>
              <w:spacing w:before="100" w:after="0"/>
            </w:pPr>
            <w:r>
              <w:rPr>
                <w:color w:val="000000"/>
              </w:rPr>
              <w:t>-Ruth's House- Clothing Program and Community Closet- providing free clothing and work apparel to 150 low-income residents with $8,000 in CDBG funds;</w:t>
            </w:r>
          </w:p>
          <w:p w14:paraId="7D3C7D84" w14:textId="77777777" w:rsidR="000B4D04" w:rsidRDefault="00B90386">
            <w:pPr>
              <w:spacing w:before="100" w:after="0"/>
            </w:pPr>
            <w:r>
              <w:rPr>
                <w:color w:val="000000"/>
              </w:rPr>
              <w:t>-Somebody Cares New England Food Pantry- serving a goal of 600 unduplicated households in Mount Washington through its monthly food pantry with $6,000 in CDBG support;</w:t>
            </w:r>
          </w:p>
          <w:p w14:paraId="14A82432" w14:textId="77777777" w:rsidR="000B4D04" w:rsidRDefault="00B90386">
            <w:pPr>
              <w:spacing w:before="100" w:after="0"/>
            </w:pPr>
            <w:r>
              <w:rPr>
                <w:color w:val="000000"/>
              </w:rPr>
              <w:t>-Salvation Army + Haverhill Public Schools- Backpack 68 Program- providing take home food for the 68-hour weekend for low-income public school students and their families, for the period when school meals are not offered, serving a goal of 200 students and their families with $3,000 in CDBG support;</w:t>
            </w:r>
          </w:p>
          <w:p w14:paraId="118153BB" w14:textId="77777777" w:rsidR="000B4D04" w:rsidRDefault="00B90386">
            <w:pPr>
              <w:spacing w:before="100" w:after="0"/>
            </w:pPr>
            <w:r>
              <w:rPr>
                <w:color w:val="000000"/>
              </w:rPr>
              <w:t>-Salvation Army- Comprehensive Emergency Support- a massive daily meals and service referral program that feeds a goal of 1,110 mostly walk-in Acre residents via $10,000 in CDBG funds;</w:t>
            </w:r>
          </w:p>
          <w:p w14:paraId="2975DDF0" w14:textId="77777777" w:rsidR="000B4D04" w:rsidRDefault="00B90386">
            <w:pPr>
              <w:spacing w:before="100" w:after="0"/>
            </w:pPr>
            <w:r>
              <w:rPr>
                <w:color w:val="000000"/>
              </w:rPr>
              <w:t>- Saint Gabriel Parish- Liz Murphy Open Hand Pantry- offering a weekly 'shop-for-yourself' model in the basement of the Universalist Unitarian Church that will support a goal of 400 needy individuals with $10,000 in CDBG money;</w:t>
            </w:r>
          </w:p>
          <w:p w14:paraId="29D01216" w14:textId="77777777" w:rsidR="000B4D04" w:rsidRDefault="00B90386">
            <w:pPr>
              <w:spacing w:before="100" w:after="0"/>
            </w:pPr>
            <w:r>
              <w:rPr>
                <w:color w:val="000000"/>
              </w:rPr>
              <w:t>-Consentino Middle School- Family Pantry Program- providing food for Mount Washington area students and their families who need nutritional support; in PY2025, this new program will serve a goal of 18 families with $5,000 in CDBG funds;</w:t>
            </w:r>
          </w:p>
          <w:p w14:paraId="2E529DED" w14:textId="77777777" w:rsidR="000B4D04" w:rsidRDefault="00B90386">
            <w:pPr>
              <w:spacing w:before="100" w:after="0"/>
            </w:pPr>
            <w:r>
              <w:rPr>
                <w:color w:val="000000"/>
              </w:rPr>
              <w:lastRenderedPageBreak/>
              <w:t>-Saint James Conference of Saint Vincent dePaul- Direct Help to People in Need- assisting a goal of 10 households through this volunteer-led program with rent and utility assistance, as well as diapers, to prevent evictions and shut-offs in the Acre neighborhood;  </w:t>
            </w:r>
          </w:p>
          <w:p w14:paraId="32814EF6" w14:textId="77777777" w:rsidR="000B4D04" w:rsidRDefault="00B90386">
            <w:pPr>
              <w:spacing w:before="100" w:after="0"/>
            </w:pPr>
            <w:r>
              <w:rPr>
                <w:color w:val="000000"/>
              </w:rPr>
              <w:t>-Community Action's Heating Assistance- aiding those households who are just over LIHEAP federal program limits for fuel assistance, serving a goal of 32 families with $11,500 from CDBG;</w:t>
            </w:r>
          </w:p>
          <w:p w14:paraId="25BF003F" w14:textId="77777777" w:rsidR="000B4D04" w:rsidRDefault="00B90386">
            <w:pPr>
              <w:spacing w:before="100" w:after="0"/>
            </w:pPr>
            <w:r>
              <w:rPr>
                <w:color w:val="000000"/>
              </w:rPr>
              <w:t>-Haverhill Public Schools Gateway Academy- Farm Stand Food Pantry- providing healthy food assistance to 50 students' families with some products grown at the school's greenhouse and freight farm, via $5,000 in CDBG support;</w:t>
            </w:r>
          </w:p>
          <w:p w14:paraId="2B79324D" w14:textId="4ECAF47F" w:rsidR="000B4D04" w:rsidRDefault="00B90386">
            <w:pPr>
              <w:spacing w:before="100" w:after="0"/>
            </w:pPr>
            <w:r>
              <w:rPr>
                <w:color w:val="000000"/>
              </w:rPr>
              <w:t>-Surrender Room/Ray of Light- Pathways to Sobriety + Recovery- supporting needs of 40 recovering substance abuse addicts with meals, programming, socialization, medical care and service referrals with $2,000 from CDBG</w:t>
            </w:r>
            <w:r w:rsidR="007F2FB7">
              <w:rPr>
                <w:color w:val="000000"/>
              </w:rPr>
              <w:t>;</w:t>
            </w:r>
          </w:p>
          <w:p w14:paraId="638B7D67" w14:textId="468339DD" w:rsidR="000B4D04" w:rsidRDefault="00B90386">
            <w:pPr>
              <w:spacing w:before="100" w:after="0"/>
            </w:pPr>
            <w:r>
              <w:rPr>
                <w:color w:val="000000"/>
              </w:rPr>
              <w:t xml:space="preserve">-Urban Village </w:t>
            </w:r>
            <w:r w:rsidR="00772670">
              <w:rPr>
                <w:color w:val="000000"/>
              </w:rPr>
              <w:t>Montessori</w:t>
            </w:r>
            <w:r>
              <w:rPr>
                <w:color w:val="000000"/>
              </w:rPr>
              <w:t xml:space="preserve">- Marigold Montessori Childcare and for Low-Income Working Families- this program will provide scholarships to 10 preschool </w:t>
            </w:r>
            <w:r w:rsidR="007F2FB7">
              <w:rPr>
                <w:color w:val="000000"/>
              </w:rPr>
              <w:t>youths</w:t>
            </w:r>
            <w:r>
              <w:rPr>
                <w:color w:val="000000"/>
              </w:rPr>
              <w:t xml:space="preserve"> at this Lower Acre childcare center so that their parents can pursue education and/or employment opportunities while awaiting State </w:t>
            </w:r>
            <w:r w:rsidR="007F2FB7">
              <w:rPr>
                <w:color w:val="000000"/>
              </w:rPr>
              <w:t>childcare</w:t>
            </w:r>
            <w:r>
              <w:rPr>
                <w:color w:val="000000"/>
              </w:rPr>
              <w:t xml:space="preserve"> vouchers, through $7,000 in CDBG support;</w:t>
            </w:r>
          </w:p>
          <w:p w14:paraId="7956B28E" w14:textId="303219D7" w:rsidR="000B4D04" w:rsidRDefault="00B90386">
            <w:pPr>
              <w:spacing w:before="100" w:after="0"/>
            </w:pPr>
            <w:r>
              <w:rPr>
                <w:color w:val="000000"/>
              </w:rPr>
              <w:t>-Urban Bridges, which is headquartered in the same Trinity Episcopal Church bui</w:t>
            </w:r>
            <w:r w:rsidR="00772670">
              <w:rPr>
                <w:color w:val="000000"/>
              </w:rPr>
              <w:t>l</w:t>
            </w:r>
            <w:r>
              <w:rPr>
                <w:color w:val="000000"/>
              </w:rPr>
              <w:t>d</w:t>
            </w:r>
            <w:r>
              <w:rPr>
                <w:color w:val="000000"/>
              </w:rPr>
              <w:t>ing as Marigold Montessori in the Lower Acre, will train a goal of 5 homeless women or indigent immigrants cooking skills and food prep</w:t>
            </w:r>
            <w:r w:rsidR="00772670">
              <w:rPr>
                <w:color w:val="000000"/>
              </w:rPr>
              <w:t>a</w:t>
            </w:r>
            <w:r>
              <w:rPr>
                <w:color w:val="000000"/>
              </w:rPr>
              <w:t>ration certifications so they can obtain quality jobs in the food and/or restaurant industries, via $4,500 in CDBG support.</w:t>
            </w:r>
          </w:p>
        </w:tc>
      </w:tr>
      <w:tr w:rsidR="000B4D04" w14:paraId="70952023" w14:textId="77777777">
        <w:trPr>
          <w:cantSplit/>
        </w:trPr>
        <w:tc>
          <w:tcPr>
            <w:tcW w:w="0" w:type="auto"/>
            <w:vMerge w:val="restart"/>
          </w:tcPr>
          <w:p w14:paraId="1ED8E469" w14:textId="77777777" w:rsidR="000B4D04" w:rsidRDefault="00B90386">
            <w:r>
              <w:rPr>
                <w:b/>
              </w:rPr>
              <w:lastRenderedPageBreak/>
              <w:t>8</w:t>
            </w:r>
          </w:p>
        </w:tc>
        <w:tc>
          <w:tcPr>
            <w:tcW w:w="0" w:type="auto"/>
          </w:tcPr>
          <w:p w14:paraId="01BF4772" w14:textId="77777777" w:rsidR="000B4D04" w:rsidRDefault="00B90386">
            <w:pPr>
              <w:keepNext/>
              <w:spacing w:before="100" w:after="0"/>
              <w:rPr>
                <w:b/>
              </w:rPr>
            </w:pPr>
            <w:r>
              <w:rPr>
                <w:b/>
              </w:rPr>
              <w:t>Project Name</w:t>
            </w:r>
          </w:p>
        </w:tc>
        <w:tc>
          <w:tcPr>
            <w:tcW w:w="0" w:type="auto"/>
          </w:tcPr>
          <w:p w14:paraId="222495D7" w14:textId="77777777" w:rsidR="000B4D04" w:rsidRDefault="00B90386">
            <w:pPr>
              <w:spacing w:before="100" w:after="0"/>
            </w:pPr>
            <w:r>
              <w:rPr>
                <w:color w:val="000000"/>
              </w:rPr>
              <w:t>Demolition and Clearance</w:t>
            </w:r>
          </w:p>
        </w:tc>
      </w:tr>
      <w:tr w:rsidR="000B4D04" w14:paraId="6A401CAE" w14:textId="77777777">
        <w:trPr>
          <w:cantSplit/>
        </w:trPr>
        <w:tc>
          <w:tcPr>
            <w:tcW w:w="0" w:type="auto"/>
            <w:vMerge/>
          </w:tcPr>
          <w:p w14:paraId="23FED70D" w14:textId="77777777" w:rsidR="000B4D04" w:rsidRDefault="000B4D04"/>
        </w:tc>
        <w:tc>
          <w:tcPr>
            <w:tcW w:w="0" w:type="auto"/>
          </w:tcPr>
          <w:p w14:paraId="028CDCC7" w14:textId="77777777" w:rsidR="000B4D04" w:rsidRDefault="00B90386">
            <w:pPr>
              <w:keepNext/>
              <w:spacing w:before="100" w:after="0"/>
              <w:rPr>
                <w:b/>
              </w:rPr>
            </w:pPr>
            <w:r>
              <w:rPr>
                <w:b/>
              </w:rPr>
              <w:t>Target Area</w:t>
            </w:r>
          </w:p>
        </w:tc>
        <w:tc>
          <w:tcPr>
            <w:tcW w:w="0" w:type="auto"/>
          </w:tcPr>
          <w:p w14:paraId="70FE639B" w14:textId="77777777" w:rsidR="000B4D04" w:rsidRDefault="00B90386">
            <w:pPr>
              <w:spacing w:before="100" w:after="0"/>
            </w:pPr>
            <w:r>
              <w:rPr>
                <w:color w:val="000000"/>
              </w:rPr>
              <w:t xml:space="preserve"> </w:t>
            </w:r>
          </w:p>
        </w:tc>
      </w:tr>
      <w:tr w:rsidR="000B4D04" w14:paraId="2E62BD51" w14:textId="77777777">
        <w:trPr>
          <w:cantSplit/>
        </w:trPr>
        <w:tc>
          <w:tcPr>
            <w:tcW w:w="0" w:type="auto"/>
            <w:vMerge/>
          </w:tcPr>
          <w:p w14:paraId="38993B38" w14:textId="77777777" w:rsidR="000B4D04" w:rsidRDefault="000B4D04"/>
        </w:tc>
        <w:tc>
          <w:tcPr>
            <w:tcW w:w="0" w:type="auto"/>
          </w:tcPr>
          <w:p w14:paraId="69819E6B" w14:textId="77777777" w:rsidR="000B4D04" w:rsidRDefault="00B90386">
            <w:pPr>
              <w:keepNext/>
              <w:spacing w:before="100" w:after="0"/>
              <w:rPr>
                <w:b/>
              </w:rPr>
            </w:pPr>
            <w:r>
              <w:rPr>
                <w:b/>
              </w:rPr>
              <w:t>Goals Supported</w:t>
            </w:r>
          </w:p>
        </w:tc>
        <w:tc>
          <w:tcPr>
            <w:tcW w:w="0" w:type="auto"/>
          </w:tcPr>
          <w:p w14:paraId="2CA76F3A" w14:textId="77777777" w:rsidR="000B4D04" w:rsidRDefault="00B90386">
            <w:pPr>
              <w:spacing w:before="100" w:after="0"/>
            </w:pPr>
            <w:r>
              <w:rPr>
                <w:color w:val="000000"/>
              </w:rPr>
              <w:t>Stabilize Neighborhoods + Increase Owner-Occupancy</w:t>
            </w:r>
          </w:p>
        </w:tc>
      </w:tr>
      <w:tr w:rsidR="000B4D04" w14:paraId="0CA6437C" w14:textId="77777777">
        <w:trPr>
          <w:cantSplit/>
        </w:trPr>
        <w:tc>
          <w:tcPr>
            <w:tcW w:w="0" w:type="auto"/>
            <w:vMerge/>
          </w:tcPr>
          <w:p w14:paraId="1D059D93" w14:textId="77777777" w:rsidR="000B4D04" w:rsidRDefault="000B4D04"/>
        </w:tc>
        <w:tc>
          <w:tcPr>
            <w:tcW w:w="0" w:type="auto"/>
          </w:tcPr>
          <w:p w14:paraId="7B7ADF60" w14:textId="77777777" w:rsidR="000B4D04" w:rsidRDefault="00B90386">
            <w:pPr>
              <w:keepNext/>
              <w:spacing w:before="100" w:after="0"/>
              <w:rPr>
                <w:b/>
              </w:rPr>
            </w:pPr>
            <w:r>
              <w:rPr>
                <w:b/>
              </w:rPr>
              <w:t>Needs Addressed</w:t>
            </w:r>
          </w:p>
        </w:tc>
        <w:tc>
          <w:tcPr>
            <w:tcW w:w="0" w:type="auto"/>
          </w:tcPr>
          <w:p w14:paraId="33D850F3" w14:textId="77777777" w:rsidR="000B4D04" w:rsidRDefault="00B90386">
            <w:pPr>
              <w:spacing w:before="100" w:after="0"/>
            </w:pPr>
            <w:r>
              <w:rPr>
                <w:color w:val="000000"/>
              </w:rPr>
              <w:t>Enhance Public Safety and Health</w:t>
            </w:r>
            <w:r>
              <w:rPr>
                <w:color w:val="000000"/>
              </w:rPr>
              <w:br/>
              <w:t>Promote Neighborhood Stabilization</w:t>
            </w:r>
          </w:p>
        </w:tc>
      </w:tr>
      <w:tr w:rsidR="000B4D04" w14:paraId="033C4947" w14:textId="77777777">
        <w:trPr>
          <w:cantSplit/>
        </w:trPr>
        <w:tc>
          <w:tcPr>
            <w:tcW w:w="0" w:type="auto"/>
            <w:vMerge/>
          </w:tcPr>
          <w:p w14:paraId="6177B147" w14:textId="77777777" w:rsidR="000B4D04" w:rsidRDefault="000B4D04"/>
        </w:tc>
        <w:tc>
          <w:tcPr>
            <w:tcW w:w="0" w:type="auto"/>
          </w:tcPr>
          <w:p w14:paraId="47D8EAB3" w14:textId="77777777" w:rsidR="000B4D04" w:rsidRDefault="00B90386">
            <w:pPr>
              <w:keepNext/>
              <w:spacing w:before="100" w:after="0"/>
              <w:rPr>
                <w:b/>
              </w:rPr>
            </w:pPr>
            <w:r>
              <w:rPr>
                <w:b/>
              </w:rPr>
              <w:t>Funding</w:t>
            </w:r>
          </w:p>
        </w:tc>
        <w:tc>
          <w:tcPr>
            <w:tcW w:w="0" w:type="auto"/>
          </w:tcPr>
          <w:p w14:paraId="67B0C32B" w14:textId="77777777" w:rsidR="000B4D04" w:rsidRDefault="00B90386">
            <w:pPr>
              <w:spacing w:before="100" w:after="0"/>
            </w:pPr>
            <w:r>
              <w:rPr>
                <w:color w:val="000000"/>
              </w:rPr>
              <w:t>CDBG: $2,000.00</w:t>
            </w:r>
          </w:p>
        </w:tc>
      </w:tr>
      <w:tr w:rsidR="000B4D04" w14:paraId="7CF02C8B" w14:textId="77777777">
        <w:trPr>
          <w:cantSplit/>
        </w:trPr>
        <w:tc>
          <w:tcPr>
            <w:tcW w:w="0" w:type="auto"/>
            <w:vMerge/>
          </w:tcPr>
          <w:p w14:paraId="3AD3D78D" w14:textId="77777777" w:rsidR="000B4D04" w:rsidRDefault="000B4D04"/>
        </w:tc>
        <w:tc>
          <w:tcPr>
            <w:tcW w:w="0" w:type="auto"/>
          </w:tcPr>
          <w:p w14:paraId="6C00FCE3" w14:textId="77777777" w:rsidR="000B4D04" w:rsidRDefault="00B90386">
            <w:pPr>
              <w:keepNext/>
              <w:spacing w:before="100" w:after="0"/>
              <w:rPr>
                <w:b/>
              </w:rPr>
            </w:pPr>
            <w:r>
              <w:rPr>
                <w:b/>
              </w:rPr>
              <w:t>Description</w:t>
            </w:r>
          </w:p>
        </w:tc>
        <w:tc>
          <w:tcPr>
            <w:tcW w:w="0" w:type="auto"/>
          </w:tcPr>
          <w:p w14:paraId="7CF277F0" w14:textId="77777777" w:rsidR="000B4D04" w:rsidRDefault="00B90386">
            <w:pPr>
              <w:spacing w:before="100" w:after="0"/>
            </w:pPr>
            <w:r>
              <w:rPr>
                <w:color w:val="000000"/>
              </w:rPr>
              <w:t>Demolition and clearance of vacant, dilapidated or vacant properties (as needed) in order to promote public safety and improve quality of life</w:t>
            </w:r>
          </w:p>
        </w:tc>
      </w:tr>
      <w:tr w:rsidR="000B4D04" w14:paraId="0FC4C9A7" w14:textId="77777777">
        <w:trPr>
          <w:cantSplit/>
        </w:trPr>
        <w:tc>
          <w:tcPr>
            <w:tcW w:w="0" w:type="auto"/>
            <w:vMerge/>
          </w:tcPr>
          <w:p w14:paraId="24E9C22A" w14:textId="77777777" w:rsidR="000B4D04" w:rsidRDefault="000B4D04"/>
        </w:tc>
        <w:tc>
          <w:tcPr>
            <w:tcW w:w="0" w:type="auto"/>
          </w:tcPr>
          <w:p w14:paraId="36CA8DDD" w14:textId="77777777" w:rsidR="000B4D04" w:rsidRDefault="00B90386">
            <w:pPr>
              <w:keepNext/>
              <w:spacing w:before="100" w:after="0"/>
              <w:rPr>
                <w:b/>
              </w:rPr>
            </w:pPr>
            <w:r>
              <w:rPr>
                <w:b/>
              </w:rPr>
              <w:t>Target Date</w:t>
            </w:r>
          </w:p>
        </w:tc>
        <w:tc>
          <w:tcPr>
            <w:tcW w:w="0" w:type="auto"/>
          </w:tcPr>
          <w:p w14:paraId="13B13180" w14:textId="77777777" w:rsidR="000B4D04" w:rsidRDefault="00B90386">
            <w:pPr>
              <w:spacing w:before="100" w:after="0"/>
            </w:pPr>
            <w:r>
              <w:rPr>
                <w:color w:val="000000"/>
              </w:rPr>
              <w:t>6/30/2026</w:t>
            </w:r>
          </w:p>
        </w:tc>
      </w:tr>
      <w:tr w:rsidR="000B4D04" w14:paraId="26393E2A" w14:textId="77777777">
        <w:trPr>
          <w:cantSplit/>
        </w:trPr>
        <w:tc>
          <w:tcPr>
            <w:tcW w:w="0" w:type="auto"/>
            <w:vMerge/>
          </w:tcPr>
          <w:p w14:paraId="0B78D075" w14:textId="77777777" w:rsidR="000B4D04" w:rsidRDefault="000B4D04"/>
        </w:tc>
        <w:tc>
          <w:tcPr>
            <w:tcW w:w="0" w:type="auto"/>
          </w:tcPr>
          <w:p w14:paraId="34E1C23D" w14:textId="77777777" w:rsidR="000B4D04" w:rsidRDefault="00B90386">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53E57EAB" w14:textId="35788ABF" w:rsidR="000B4D04" w:rsidRDefault="00B90386">
            <w:pPr>
              <w:spacing w:before="100" w:after="0"/>
            </w:pPr>
            <w:r>
              <w:rPr>
                <w:color w:val="000000"/>
              </w:rPr>
              <w:t>One project is budgeted for-- </w:t>
            </w:r>
            <w:r w:rsidR="007F2FB7">
              <w:rPr>
                <w:color w:val="000000"/>
              </w:rPr>
              <w:t>d</w:t>
            </w:r>
            <w:r>
              <w:rPr>
                <w:color w:val="000000"/>
              </w:rPr>
              <w:t>epending on the location, a whole neighborhood may benefit.</w:t>
            </w:r>
          </w:p>
        </w:tc>
      </w:tr>
      <w:tr w:rsidR="000B4D04" w14:paraId="487C2F8C" w14:textId="77777777">
        <w:trPr>
          <w:cantSplit/>
        </w:trPr>
        <w:tc>
          <w:tcPr>
            <w:tcW w:w="0" w:type="auto"/>
            <w:vMerge/>
          </w:tcPr>
          <w:p w14:paraId="7D129524" w14:textId="77777777" w:rsidR="000B4D04" w:rsidRDefault="000B4D04"/>
        </w:tc>
        <w:tc>
          <w:tcPr>
            <w:tcW w:w="0" w:type="auto"/>
          </w:tcPr>
          <w:p w14:paraId="4CF075A5" w14:textId="77777777" w:rsidR="000B4D04" w:rsidRDefault="00B90386">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3FDE269D" w14:textId="77777777" w:rsidR="000B4D04" w:rsidRDefault="00B90386">
            <w:pPr>
              <w:spacing w:before="100" w:after="0"/>
            </w:pPr>
            <w:r>
              <w:rPr>
                <w:color w:val="000000"/>
              </w:rPr>
              <w:t>To be determined as needed</w:t>
            </w:r>
          </w:p>
        </w:tc>
      </w:tr>
      <w:tr w:rsidR="000B4D04" w14:paraId="4C3A45E5" w14:textId="77777777">
        <w:trPr>
          <w:cantSplit/>
        </w:trPr>
        <w:tc>
          <w:tcPr>
            <w:tcW w:w="0" w:type="auto"/>
            <w:vMerge/>
          </w:tcPr>
          <w:p w14:paraId="5F38F7E2" w14:textId="77777777" w:rsidR="000B4D04" w:rsidRDefault="000B4D04"/>
        </w:tc>
        <w:tc>
          <w:tcPr>
            <w:tcW w:w="0" w:type="auto"/>
          </w:tcPr>
          <w:p w14:paraId="278A73C4" w14:textId="77777777" w:rsidR="000B4D04" w:rsidRDefault="00B90386">
            <w:pPr>
              <w:keepNext/>
              <w:spacing w:before="100" w:after="0"/>
              <w:rPr>
                <w:rFonts w:asciiTheme="minorHAnsi" w:hAnsiTheme="minorHAnsi"/>
                <w:b/>
              </w:rPr>
            </w:pPr>
            <w:r>
              <w:rPr>
                <w:rStyle w:val="Strong"/>
                <w:rFonts w:asciiTheme="minorHAnsi" w:hAnsiTheme="minorHAnsi"/>
              </w:rPr>
              <w:t>Planned Activities</w:t>
            </w:r>
          </w:p>
        </w:tc>
        <w:tc>
          <w:tcPr>
            <w:tcW w:w="0" w:type="auto"/>
          </w:tcPr>
          <w:p w14:paraId="0587F7CE" w14:textId="77777777" w:rsidR="000B4D04" w:rsidRDefault="00B90386">
            <w:pPr>
              <w:spacing w:before="100" w:after="0"/>
            </w:pPr>
            <w:r>
              <w:rPr>
                <w:color w:val="000000"/>
              </w:rPr>
              <w:t>This activity would provide demolition, boarding and/or clearing as needed, with a budgetary placeholder.</w:t>
            </w:r>
          </w:p>
        </w:tc>
      </w:tr>
      <w:tr w:rsidR="000B4D04" w14:paraId="12DB1339" w14:textId="77777777">
        <w:trPr>
          <w:cantSplit/>
        </w:trPr>
        <w:tc>
          <w:tcPr>
            <w:tcW w:w="0" w:type="auto"/>
            <w:vMerge w:val="restart"/>
          </w:tcPr>
          <w:p w14:paraId="72983489" w14:textId="77777777" w:rsidR="000B4D04" w:rsidRDefault="00B90386">
            <w:r>
              <w:rPr>
                <w:b/>
              </w:rPr>
              <w:t>9</w:t>
            </w:r>
          </w:p>
        </w:tc>
        <w:tc>
          <w:tcPr>
            <w:tcW w:w="0" w:type="auto"/>
          </w:tcPr>
          <w:p w14:paraId="54245D83" w14:textId="77777777" w:rsidR="000B4D04" w:rsidRDefault="00B90386">
            <w:pPr>
              <w:keepNext/>
              <w:spacing w:before="100" w:after="0"/>
              <w:rPr>
                <w:b/>
              </w:rPr>
            </w:pPr>
            <w:r>
              <w:rPr>
                <w:b/>
              </w:rPr>
              <w:t>Project Name</w:t>
            </w:r>
          </w:p>
        </w:tc>
        <w:tc>
          <w:tcPr>
            <w:tcW w:w="0" w:type="auto"/>
          </w:tcPr>
          <w:p w14:paraId="12243A3E" w14:textId="77777777" w:rsidR="000B4D04" w:rsidRDefault="00B90386">
            <w:pPr>
              <w:spacing w:before="100" w:after="0"/>
            </w:pPr>
            <w:r>
              <w:rPr>
                <w:color w:val="000000"/>
              </w:rPr>
              <w:t>Economic Development</w:t>
            </w:r>
          </w:p>
        </w:tc>
      </w:tr>
      <w:tr w:rsidR="000B4D04" w14:paraId="45A08B91" w14:textId="77777777">
        <w:trPr>
          <w:cantSplit/>
        </w:trPr>
        <w:tc>
          <w:tcPr>
            <w:tcW w:w="0" w:type="auto"/>
            <w:vMerge/>
          </w:tcPr>
          <w:p w14:paraId="797D3C1C" w14:textId="77777777" w:rsidR="000B4D04" w:rsidRDefault="000B4D04"/>
        </w:tc>
        <w:tc>
          <w:tcPr>
            <w:tcW w:w="0" w:type="auto"/>
          </w:tcPr>
          <w:p w14:paraId="5477E62C" w14:textId="77777777" w:rsidR="000B4D04" w:rsidRDefault="00B90386">
            <w:pPr>
              <w:keepNext/>
              <w:spacing w:before="100" w:after="0"/>
              <w:rPr>
                <w:b/>
              </w:rPr>
            </w:pPr>
            <w:r>
              <w:rPr>
                <w:b/>
              </w:rPr>
              <w:t>Target Area</w:t>
            </w:r>
          </w:p>
        </w:tc>
        <w:tc>
          <w:tcPr>
            <w:tcW w:w="0" w:type="auto"/>
          </w:tcPr>
          <w:p w14:paraId="16C60452" w14:textId="77777777" w:rsidR="000B4D04" w:rsidRDefault="00B90386">
            <w:pPr>
              <w:spacing w:before="100" w:after="0"/>
            </w:pPr>
            <w:r>
              <w:rPr>
                <w:color w:val="000000"/>
              </w:rPr>
              <w:t>CDBG TARGET AREA</w:t>
            </w:r>
            <w:r>
              <w:rPr>
                <w:color w:val="000000"/>
              </w:rPr>
              <w:br/>
              <w:t>Lower Acre NRSA</w:t>
            </w:r>
            <w:r>
              <w:rPr>
                <w:color w:val="000000"/>
              </w:rPr>
              <w:br/>
              <w:t>Mount Washington NRSA</w:t>
            </w:r>
          </w:p>
        </w:tc>
      </w:tr>
      <w:tr w:rsidR="000B4D04" w14:paraId="46EA6DCE" w14:textId="77777777">
        <w:trPr>
          <w:cantSplit/>
        </w:trPr>
        <w:tc>
          <w:tcPr>
            <w:tcW w:w="0" w:type="auto"/>
            <w:vMerge/>
          </w:tcPr>
          <w:p w14:paraId="3B1701FB" w14:textId="77777777" w:rsidR="000B4D04" w:rsidRDefault="000B4D04"/>
        </w:tc>
        <w:tc>
          <w:tcPr>
            <w:tcW w:w="0" w:type="auto"/>
          </w:tcPr>
          <w:p w14:paraId="7CB3DEE2" w14:textId="77777777" w:rsidR="000B4D04" w:rsidRDefault="00B90386">
            <w:pPr>
              <w:keepNext/>
              <w:spacing w:before="100" w:after="0"/>
              <w:rPr>
                <w:b/>
              </w:rPr>
            </w:pPr>
            <w:r>
              <w:rPr>
                <w:b/>
              </w:rPr>
              <w:t>Goals Supported</w:t>
            </w:r>
          </w:p>
        </w:tc>
        <w:tc>
          <w:tcPr>
            <w:tcW w:w="0" w:type="auto"/>
          </w:tcPr>
          <w:p w14:paraId="1B7A891A" w14:textId="77777777" w:rsidR="000B4D04" w:rsidRDefault="00B90386">
            <w:pPr>
              <w:spacing w:before="100" w:after="0"/>
            </w:pPr>
            <w:r>
              <w:rPr>
                <w:color w:val="000000"/>
              </w:rPr>
              <w:t>Promote Neighborhood-Based Economic Development</w:t>
            </w:r>
          </w:p>
        </w:tc>
      </w:tr>
      <w:tr w:rsidR="000B4D04" w14:paraId="22274A99" w14:textId="77777777">
        <w:trPr>
          <w:cantSplit/>
        </w:trPr>
        <w:tc>
          <w:tcPr>
            <w:tcW w:w="0" w:type="auto"/>
            <w:vMerge/>
          </w:tcPr>
          <w:p w14:paraId="2A835CFE" w14:textId="77777777" w:rsidR="000B4D04" w:rsidRDefault="000B4D04"/>
        </w:tc>
        <w:tc>
          <w:tcPr>
            <w:tcW w:w="0" w:type="auto"/>
          </w:tcPr>
          <w:p w14:paraId="0C9337FF" w14:textId="77777777" w:rsidR="000B4D04" w:rsidRDefault="00B90386">
            <w:pPr>
              <w:keepNext/>
              <w:spacing w:before="100" w:after="0"/>
              <w:rPr>
                <w:b/>
              </w:rPr>
            </w:pPr>
            <w:r>
              <w:rPr>
                <w:b/>
              </w:rPr>
              <w:t>Needs Addressed</w:t>
            </w:r>
          </w:p>
        </w:tc>
        <w:tc>
          <w:tcPr>
            <w:tcW w:w="0" w:type="auto"/>
          </w:tcPr>
          <w:p w14:paraId="06D7DC33" w14:textId="77777777" w:rsidR="000B4D04" w:rsidRDefault="00B90386">
            <w:pPr>
              <w:spacing w:before="100" w:after="0"/>
            </w:pPr>
            <w:r>
              <w:rPr>
                <w:color w:val="000000"/>
              </w:rPr>
              <w:t>Encourage Economic + Workforce Development</w:t>
            </w:r>
            <w:r>
              <w:rPr>
                <w:color w:val="000000"/>
              </w:rPr>
              <w:br/>
              <w:t>Promote Neighborhood Stabilization</w:t>
            </w:r>
            <w:r>
              <w:rPr>
                <w:color w:val="000000"/>
              </w:rPr>
              <w:br/>
              <w:t>Connection to Resources and Economic Opportunities</w:t>
            </w:r>
          </w:p>
        </w:tc>
      </w:tr>
      <w:tr w:rsidR="000B4D04" w14:paraId="2EA942FD" w14:textId="77777777">
        <w:trPr>
          <w:cantSplit/>
        </w:trPr>
        <w:tc>
          <w:tcPr>
            <w:tcW w:w="0" w:type="auto"/>
            <w:vMerge/>
          </w:tcPr>
          <w:p w14:paraId="5865A0A7" w14:textId="77777777" w:rsidR="000B4D04" w:rsidRDefault="000B4D04"/>
        </w:tc>
        <w:tc>
          <w:tcPr>
            <w:tcW w:w="0" w:type="auto"/>
          </w:tcPr>
          <w:p w14:paraId="4DD11509" w14:textId="77777777" w:rsidR="000B4D04" w:rsidRDefault="00B90386">
            <w:pPr>
              <w:keepNext/>
              <w:spacing w:before="100" w:after="0"/>
              <w:rPr>
                <w:b/>
              </w:rPr>
            </w:pPr>
            <w:r>
              <w:rPr>
                <w:b/>
              </w:rPr>
              <w:t>Funding</w:t>
            </w:r>
          </w:p>
        </w:tc>
        <w:tc>
          <w:tcPr>
            <w:tcW w:w="0" w:type="auto"/>
          </w:tcPr>
          <w:p w14:paraId="6920E976" w14:textId="77777777" w:rsidR="000B4D04" w:rsidRDefault="00B90386">
            <w:pPr>
              <w:spacing w:before="100" w:after="0"/>
            </w:pPr>
            <w:r>
              <w:rPr>
                <w:color w:val="000000"/>
              </w:rPr>
              <w:t>CDBG: $133,600.00</w:t>
            </w:r>
          </w:p>
        </w:tc>
      </w:tr>
      <w:tr w:rsidR="000B4D04" w14:paraId="2D655F43" w14:textId="77777777">
        <w:trPr>
          <w:cantSplit/>
        </w:trPr>
        <w:tc>
          <w:tcPr>
            <w:tcW w:w="0" w:type="auto"/>
            <w:vMerge/>
          </w:tcPr>
          <w:p w14:paraId="2E7BA5B3" w14:textId="77777777" w:rsidR="000B4D04" w:rsidRDefault="000B4D04"/>
        </w:tc>
        <w:tc>
          <w:tcPr>
            <w:tcW w:w="0" w:type="auto"/>
          </w:tcPr>
          <w:p w14:paraId="589089EF" w14:textId="77777777" w:rsidR="000B4D04" w:rsidRDefault="00B90386">
            <w:pPr>
              <w:keepNext/>
              <w:spacing w:before="100" w:after="0"/>
              <w:rPr>
                <w:b/>
              </w:rPr>
            </w:pPr>
            <w:r>
              <w:rPr>
                <w:b/>
              </w:rPr>
              <w:t>Description</w:t>
            </w:r>
          </w:p>
        </w:tc>
        <w:tc>
          <w:tcPr>
            <w:tcW w:w="0" w:type="auto"/>
          </w:tcPr>
          <w:p w14:paraId="3C0881B9" w14:textId="77777777" w:rsidR="000B4D04" w:rsidRDefault="00B90386">
            <w:pPr>
              <w:spacing w:before="100" w:after="0"/>
            </w:pPr>
            <w:r>
              <w:rPr>
                <w:color w:val="000000"/>
              </w:rPr>
              <w:t>Economic development activities that support small businesses and economic activity and conditions within Target Area neighborhoods.</w:t>
            </w:r>
          </w:p>
        </w:tc>
      </w:tr>
      <w:tr w:rsidR="000B4D04" w14:paraId="5AFD29D7" w14:textId="77777777">
        <w:trPr>
          <w:cantSplit/>
        </w:trPr>
        <w:tc>
          <w:tcPr>
            <w:tcW w:w="0" w:type="auto"/>
            <w:vMerge/>
          </w:tcPr>
          <w:p w14:paraId="25046B01" w14:textId="77777777" w:rsidR="000B4D04" w:rsidRDefault="000B4D04"/>
        </w:tc>
        <w:tc>
          <w:tcPr>
            <w:tcW w:w="0" w:type="auto"/>
          </w:tcPr>
          <w:p w14:paraId="3589BACA" w14:textId="77777777" w:rsidR="000B4D04" w:rsidRDefault="00B90386">
            <w:pPr>
              <w:keepNext/>
              <w:spacing w:before="100" w:after="0"/>
              <w:rPr>
                <w:b/>
              </w:rPr>
            </w:pPr>
            <w:r>
              <w:rPr>
                <w:b/>
              </w:rPr>
              <w:t>Target Date</w:t>
            </w:r>
          </w:p>
        </w:tc>
        <w:tc>
          <w:tcPr>
            <w:tcW w:w="0" w:type="auto"/>
          </w:tcPr>
          <w:p w14:paraId="7FCF9E69" w14:textId="77777777" w:rsidR="000B4D04" w:rsidRDefault="00B90386">
            <w:pPr>
              <w:spacing w:before="100" w:after="0"/>
            </w:pPr>
            <w:r>
              <w:rPr>
                <w:color w:val="000000"/>
              </w:rPr>
              <w:t>6/30/2026</w:t>
            </w:r>
          </w:p>
        </w:tc>
      </w:tr>
      <w:tr w:rsidR="000B4D04" w14:paraId="2B8F9976" w14:textId="77777777">
        <w:trPr>
          <w:cantSplit/>
        </w:trPr>
        <w:tc>
          <w:tcPr>
            <w:tcW w:w="0" w:type="auto"/>
            <w:vMerge/>
          </w:tcPr>
          <w:p w14:paraId="3D3AF526" w14:textId="77777777" w:rsidR="000B4D04" w:rsidRDefault="000B4D04"/>
        </w:tc>
        <w:tc>
          <w:tcPr>
            <w:tcW w:w="0" w:type="auto"/>
          </w:tcPr>
          <w:p w14:paraId="19DB76B1" w14:textId="77777777" w:rsidR="000B4D04" w:rsidRDefault="00B90386">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13652D82" w14:textId="77777777" w:rsidR="000B4D04" w:rsidRDefault="00B90386">
            <w:pPr>
              <w:spacing w:before="100" w:after="0"/>
            </w:pPr>
            <w:r>
              <w:rPr>
                <w:color w:val="000000"/>
              </w:rPr>
              <w:t xml:space="preserve"> </w:t>
            </w:r>
          </w:p>
        </w:tc>
      </w:tr>
      <w:tr w:rsidR="000B4D04" w14:paraId="4382E71A" w14:textId="77777777">
        <w:trPr>
          <w:cantSplit/>
        </w:trPr>
        <w:tc>
          <w:tcPr>
            <w:tcW w:w="0" w:type="auto"/>
            <w:vMerge/>
          </w:tcPr>
          <w:p w14:paraId="3EFF176A" w14:textId="77777777" w:rsidR="000B4D04" w:rsidRDefault="000B4D04"/>
        </w:tc>
        <w:tc>
          <w:tcPr>
            <w:tcW w:w="0" w:type="auto"/>
          </w:tcPr>
          <w:p w14:paraId="5B32054A" w14:textId="77777777" w:rsidR="000B4D04" w:rsidRDefault="00B90386">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2901C22C" w14:textId="0C8F60B1" w:rsidR="000B4D04" w:rsidRDefault="007F2FB7">
            <w:pPr>
              <w:spacing w:before="100" w:after="0"/>
            </w:pPr>
            <w:r>
              <w:rPr>
                <w:color w:val="000000"/>
              </w:rPr>
              <w:t>The</w:t>
            </w:r>
            <w:r w:rsidR="00B90386">
              <w:rPr>
                <w:color w:val="000000"/>
              </w:rPr>
              <w:t xml:space="preserve"> exclusive purpose of this Project is to increase economic development activity at the street level within the Target Area.</w:t>
            </w:r>
          </w:p>
        </w:tc>
      </w:tr>
      <w:tr w:rsidR="000B4D04" w14:paraId="096464C4" w14:textId="77777777">
        <w:trPr>
          <w:cantSplit/>
        </w:trPr>
        <w:tc>
          <w:tcPr>
            <w:tcW w:w="0" w:type="auto"/>
            <w:vMerge/>
          </w:tcPr>
          <w:p w14:paraId="0FE8B77A" w14:textId="77777777" w:rsidR="000B4D04" w:rsidRDefault="000B4D04"/>
        </w:tc>
        <w:tc>
          <w:tcPr>
            <w:tcW w:w="0" w:type="auto"/>
          </w:tcPr>
          <w:p w14:paraId="6DD36D6D" w14:textId="77777777" w:rsidR="000B4D04" w:rsidRDefault="00B90386">
            <w:pPr>
              <w:keepNext/>
              <w:spacing w:before="100" w:after="0"/>
              <w:rPr>
                <w:rFonts w:asciiTheme="minorHAnsi" w:hAnsiTheme="minorHAnsi"/>
                <w:b/>
              </w:rPr>
            </w:pPr>
            <w:r>
              <w:rPr>
                <w:rStyle w:val="Strong"/>
                <w:rFonts w:asciiTheme="minorHAnsi" w:hAnsiTheme="minorHAnsi"/>
              </w:rPr>
              <w:t>Planned Activities</w:t>
            </w:r>
          </w:p>
        </w:tc>
        <w:tc>
          <w:tcPr>
            <w:tcW w:w="0" w:type="auto"/>
          </w:tcPr>
          <w:p w14:paraId="6319F1F2" w14:textId="364D6194" w:rsidR="000B4D04" w:rsidRDefault="00B90386">
            <w:pPr>
              <w:spacing w:before="100" w:after="0"/>
            </w:pPr>
            <w:r>
              <w:rPr>
                <w:color w:val="000000"/>
              </w:rPr>
              <w:t xml:space="preserve">There are several important economic development initiatives to be funded with the Community Development Block Grant (CDBG) in Program Year 2025 (PY25).  These are geared toward improving economic outcomes </w:t>
            </w:r>
            <w:r w:rsidR="007F2FB7">
              <w:rPr>
                <w:color w:val="000000"/>
              </w:rPr>
              <w:t>in</w:t>
            </w:r>
            <w:r>
              <w:rPr>
                <w:color w:val="000000"/>
              </w:rPr>
              <w:t xml:space="preserve"> urban neighborhoods around downtown, and </w:t>
            </w:r>
            <w:r w:rsidR="007F2FB7">
              <w:rPr>
                <w:color w:val="000000"/>
              </w:rPr>
              <w:t>include</w:t>
            </w:r>
            <w:r>
              <w:rPr>
                <w:color w:val="000000"/>
              </w:rPr>
              <w:t>:</w:t>
            </w:r>
          </w:p>
          <w:p w14:paraId="7563BAC9" w14:textId="77777777" w:rsidR="000B4D04" w:rsidRDefault="00B90386">
            <w:pPr>
              <w:spacing w:before="100" w:after="0"/>
            </w:pPr>
            <w:r>
              <w:rPr>
                <w:color w:val="000000"/>
              </w:rPr>
              <w:t>Facade Improvement- $25,000 is allocated in PY25 funding for exterior improvements to commercial storefronts in or around the downtown area.  The Facade Improvement Program is a loan up to $25,000 repayable after 10 years at 1% interest.  An additional $25,000 in unused prior year funds for this program is being moved ahead into PY25, totaling $50,000 for a goal of 2 properties with 2 new jobs being created. </w:t>
            </w:r>
          </w:p>
          <w:p w14:paraId="0E01A41D" w14:textId="51A52D3A" w:rsidR="000B4D04" w:rsidRDefault="00B90386">
            <w:pPr>
              <w:spacing w:before="100" w:after="0"/>
            </w:pPr>
            <w:r>
              <w:rPr>
                <w:color w:val="000000"/>
              </w:rPr>
              <w:t>MakeIT Haverhill- this neighborhood and community-based workforce development and job training center aims to increase incomes of local residents, esp</w:t>
            </w:r>
            <w:r w:rsidR="007F2FB7">
              <w:rPr>
                <w:color w:val="000000"/>
              </w:rPr>
              <w:t>e</w:t>
            </w:r>
            <w:r>
              <w:rPr>
                <w:color w:val="000000"/>
              </w:rPr>
              <w:t>cially minorities or disadvantaged populations from Mount Washington or other urban areas.  This center provides English, financial and digital literacy classes, offer job fairs and case management and referrals.  They will be supported with $25,000 in PY25 CDBG Funds, along with $27,500 in unspent prior year CDBG funds.  Their goal is to help 30 people get jobs while assisting 20 businesses with job fair services and employment assistance.</w:t>
            </w:r>
          </w:p>
          <w:p w14:paraId="7001A002" w14:textId="213BBA00" w:rsidR="000B4D04" w:rsidRDefault="00B90386">
            <w:pPr>
              <w:spacing w:before="100" w:after="0"/>
            </w:pPr>
            <w:r>
              <w:rPr>
                <w:color w:val="000000"/>
              </w:rPr>
              <w:t xml:space="preserve">Latino Business Outreach- this Activity provides dedicated and trusted bilingual and bicultural outreach to Spanish-speaking bodegas and other </w:t>
            </w:r>
            <w:r w:rsidR="007F2FB7">
              <w:rPr>
                <w:color w:val="000000"/>
              </w:rPr>
              <w:t>businesses</w:t>
            </w:r>
            <w:r>
              <w:rPr>
                <w:color w:val="000000"/>
              </w:rPr>
              <w:t xml:space="preserve"> in the City, in order to connect them to programs and credits that can </w:t>
            </w:r>
            <w:r w:rsidR="007F2FB7">
              <w:rPr>
                <w:color w:val="000000"/>
              </w:rPr>
              <w:t>grow</w:t>
            </w:r>
            <w:r>
              <w:rPr>
                <w:color w:val="000000"/>
              </w:rPr>
              <w:t xml:space="preserve"> their businesses and employment,  While only $1,000 in new Program Year 2025 CDBG funds are allocated to this, $30,100 of unused prior year CDBG funds are being added for this Activity.  The goal is to make contact and develop relationships with 30 predominantly Spanish-speaking businesses.</w:t>
            </w:r>
          </w:p>
        </w:tc>
      </w:tr>
      <w:tr w:rsidR="000B4D04" w14:paraId="4C07ABEE" w14:textId="77777777">
        <w:trPr>
          <w:cantSplit/>
        </w:trPr>
        <w:tc>
          <w:tcPr>
            <w:tcW w:w="0" w:type="auto"/>
            <w:vMerge w:val="restart"/>
          </w:tcPr>
          <w:p w14:paraId="6B7A6660" w14:textId="77777777" w:rsidR="000B4D04" w:rsidRDefault="00B90386">
            <w:r>
              <w:rPr>
                <w:b/>
              </w:rPr>
              <w:t>10</w:t>
            </w:r>
          </w:p>
        </w:tc>
        <w:tc>
          <w:tcPr>
            <w:tcW w:w="0" w:type="auto"/>
          </w:tcPr>
          <w:p w14:paraId="51B67366" w14:textId="77777777" w:rsidR="000B4D04" w:rsidRDefault="00B90386">
            <w:pPr>
              <w:keepNext/>
              <w:spacing w:before="100" w:after="0"/>
              <w:rPr>
                <w:b/>
              </w:rPr>
            </w:pPr>
            <w:r>
              <w:rPr>
                <w:b/>
              </w:rPr>
              <w:t>Project Name</w:t>
            </w:r>
          </w:p>
        </w:tc>
        <w:tc>
          <w:tcPr>
            <w:tcW w:w="0" w:type="auto"/>
          </w:tcPr>
          <w:p w14:paraId="5F75FA14" w14:textId="77777777" w:rsidR="000B4D04" w:rsidRDefault="00B90386">
            <w:pPr>
              <w:spacing w:before="100" w:after="0"/>
            </w:pPr>
            <w:r>
              <w:rPr>
                <w:color w:val="000000"/>
              </w:rPr>
              <w:t>First-Time Home Buyer Assistance</w:t>
            </w:r>
          </w:p>
        </w:tc>
      </w:tr>
      <w:tr w:rsidR="000B4D04" w14:paraId="0A381DCE" w14:textId="77777777">
        <w:trPr>
          <w:cantSplit/>
        </w:trPr>
        <w:tc>
          <w:tcPr>
            <w:tcW w:w="0" w:type="auto"/>
            <w:vMerge/>
          </w:tcPr>
          <w:p w14:paraId="5D5B9B0E" w14:textId="77777777" w:rsidR="000B4D04" w:rsidRDefault="000B4D04"/>
        </w:tc>
        <w:tc>
          <w:tcPr>
            <w:tcW w:w="0" w:type="auto"/>
          </w:tcPr>
          <w:p w14:paraId="1E5860DF" w14:textId="77777777" w:rsidR="000B4D04" w:rsidRDefault="00B90386">
            <w:pPr>
              <w:keepNext/>
              <w:spacing w:before="100" w:after="0"/>
              <w:rPr>
                <w:b/>
              </w:rPr>
            </w:pPr>
            <w:r>
              <w:rPr>
                <w:b/>
              </w:rPr>
              <w:t>Target Area</w:t>
            </w:r>
          </w:p>
        </w:tc>
        <w:tc>
          <w:tcPr>
            <w:tcW w:w="0" w:type="auto"/>
          </w:tcPr>
          <w:p w14:paraId="3F891D5C" w14:textId="77777777" w:rsidR="000B4D04" w:rsidRDefault="00B90386">
            <w:pPr>
              <w:spacing w:before="100" w:after="0"/>
            </w:pPr>
            <w:r>
              <w:rPr>
                <w:color w:val="000000"/>
              </w:rPr>
              <w:t>CDBG TARGET AREA</w:t>
            </w:r>
            <w:r>
              <w:rPr>
                <w:color w:val="000000"/>
              </w:rPr>
              <w:br/>
              <w:t>Lower Acre NRSA</w:t>
            </w:r>
            <w:r>
              <w:rPr>
                <w:color w:val="000000"/>
              </w:rPr>
              <w:br/>
              <w:t>Mount Washington NRSA</w:t>
            </w:r>
          </w:p>
        </w:tc>
      </w:tr>
      <w:tr w:rsidR="000B4D04" w14:paraId="049D082F" w14:textId="77777777">
        <w:trPr>
          <w:cantSplit/>
        </w:trPr>
        <w:tc>
          <w:tcPr>
            <w:tcW w:w="0" w:type="auto"/>
            <w:vMerge/>
          </w:tcPr>
          <w:p w14:paraId="25DC10F9" w14:textId="77777777" w:rsidR="000B4D04" w:rsidRDefault="000B4D04"/>
        </w:tc>
        <w:tc>
          <w:tcPr>
            <w:tcW w:w="0" w:type="auto"/>
          </w:tcPr>
          <w:p w14:paraId="0683EF96" w14:textId="77777777" w:rsidR="000B4D04" w:rsidRDefault="00B90386">
            <w:pPr>
              <w:keepNext/>
              <w:spacing w:before="100" w:after="0"/>
              <w:rPr>
                <w:b/>
              </w:rPr>
            </w:pPr>
            <w:r>
              <w:rPr>
                <w:b/>
              </w:rPr>
              <w:t>Goals Supported</w:t>
            </w:r>
          </w:p>
        </w:tc>
        <w:tc>
          <w:tcPr>
            <w:tcW w:w="0" w:type="auto"/>
          </w:tcPr>
          <w:p w14:paraId="0E8AF9C7" w14:textId="77777777" w:rsidR="000B4D04" w:rsidRDefault="00B90386">
            <w:pPr>
              <w:spacing w:before="100" w:after="0"/>
            </w:pPr>
            <w:r>
              <w:rPr>
                <w:color w:val="000000"/>
              </w:rPr>
              <w:t>Maintain Housing Stock</w:t>
            </w:r>
            <w:r>
              <w:rPr>
                <w:color w:val="000000"/>
              </w:rPr>
              <w:br/>
            </w:r>
            <w:r>
              <w:rPr>
                <w:color w:val="000000"/>
              </w:rPr>
              <w:t>Stabilize Neighborhoods + Increase Owner-Occupancy</w:t>
            </w:r>
          </w:p>
        </w:tc>
      </w:tr>
      <w:tr w:rsidR="000B4D04" w14:paraId="62F8E394" w14:textId="77777777">
        <w:trPr>
          <w:cantSplit/>
        </w:trPr>
        <w:tc>
          <w:tcPr>
            <w:tcW w:w="0" w:type="auto"/>
            <w:vMerge/>
          </w:tcPr>
          <w:p w14:paraId="174FB217" w14:textId="77777777" w:rsidR="000B4D04" w:rsidRDefault="000B4D04"/>
        </w:tc>
        <w:tc>
          <w:tcPr>
            <w:tcW w:w="0" w:type="auto"/>
          </w:tcPr>
          <w:p w14:paraId="676FECFA" w14:textId="77777777" w:rsidR="000B4D04" w:rsidRDefault="00B90386">
            <w:pPr>
              <w:keepNext/>
              <w:spacing w:before="100" w:after="0"/>
              <w:rPr>
                <w:b/>
              </w:rPr>
            </w:pPr>
            <w:r>
              <w:rPr>
                <w:b/>
              </w:rPr>
              <w:t>Needs Addressed</w:t>
            </w:r>
          </w:p>
        </w:tc>
        <w:tc>
          <w:tcPr>
            <w:tcW w:w="0" w:type="auto"/>
          </w:tcPr>
          <w:p w14:paraId="4BE31DBE" w14:textId="77777777" w:rsidR="000B4D04" w:rsidRDefault="00B90386">
            <w:pPr>
              <w:spacing w:before="100" w:after="0"/>
            </w:pPr>
            <w:r>
              <w:rPr>
                <w:color w:val="000000"/>
              </w:rPr>
              <w:t>Maintain, Preserve and Improve Housing Stock</w:t>
            </w:r>
            <w:r>
              <w:rPr>
                <w:color w:val="000000"/>
              </w:rPr>
              <w:br/>
              <w:t>Expand Type, Diversity and Supply of Housing</w:t>
            </w:r>
            <w:r>
              <w:rPr>
                <w:color w:val="000000"/>
              </w:rPr>
              <w:br/>
              <w:t>Increase Owner-Occupancy in Target Neighborhoods</w:t>
            </w:r>
            <w:r>
              <w:rPr>
                <w:color w:val="000000"/>
              </w:rPr>
              <w:br/>
            </w:r>
            <w:r>
              <w:rPr>
                <w:color w:val="000000"/>
              </w:rPr>
              <w:t>Promote Neighborhood Stabilization</w:t>
            </w:r>
            <w:r>
              <w:rPr>
                <w:color w:val="000000"/>
              </w:rPr>
              <w:br/>
              <w:t>Connection to Resources and Economic Opportunities</w:t>
            </w:r>
          </w:p>
        </w:tc>
      </w:tr>
      <w:tr w:rsidR="000B4D04" w14:paraId="5ACC6BBE" w14:textId="77777777">
        <w:trPr>
          <w:cantSplit/>
        </w:trPr>
        <w:tc>
          <w:tcPr>
            <w:tcW w:w="0" w:type="auto"/>
            <w:vMerge/>
          </w:tcPr>
          <w:p w14:paraId="013F91A4" w14:textId="77777777" w:rsidR="000B4D04" w:rsidRDefault="000B4D04"/>
        </w:tc>
        <w:tc>
          <w:tcPr>
            <w:tcW w:w="0" w:type="auto"/>
          </w:tcPr>
          <w:p w14:paraId="7EC2F121" w14:textId="77777777" w:rsidR="000B4D04" w:rsidRDefault="00B90386">
            <w:pPr>
              <w:keepNext/>
              <w:spacing w:before="100" w:after="0"/>
              <w:rPr>
                <w:b/>
              </w:rPr>
            </w:pPr>
            <w:r>
              <w:rPr>
                <w:b/>
              </w:rPr>
              <w:t>Funding</w:t>
            </w:r>
          </w:p>
        </w:tc>
        <w:tc>
          <w:tcPr>
            <w:tcW w:w="0" w:type="auto"/>
          </w:tcPr>
          <w:p w14:paraId="17A973CE" w14:textId="77777777" w:rsidR="000B4D04" w:rsidRDefault="00B90386">
            <w:pPr>
              <w:spacing w:before="100" w:after="0"/>
            </w:pPr>
            <w:r>
              <w:rPr>
                <w:color w:val="000000"/>
              </w:rPr>
              <w:t>CDBG: $60,000.00</w:t>
            </w:r>
          </w:p>
        </w:tc>
      </w:tr>
      <w:tr w:rsidR="000B4D04" w14:paraId="29AA3DA8" w14:textId="77777777">
        <w:trPr>
          <w:cantSplit/>
        </w:trPr>
        <w:tc>
          <w:tcPr>
            <w:tcW w:w="0" w:type="auto"/>
            <w:vMerge/>
          </w:tcPr>
          <w:p w14:paraId="6F4E43EB" w14:textId="77777777" w:rsidR="000B4D04" w:rsidRDefault="000B4D04"/>
        </w:tc>
        <w:tc>
          <w:tcPr>
            <w:tcW w:w="0" w:type="auto"/>
          </w:tcPr>
          <w:p w14:paraId="28907DCB" w14:textId="77777777" w:rsidR="000B4D04" w:rsidRDefault="00B90386">
            <w:pPr>
              <w:keepNext/>
              <w:spacing w:before="100" w:after="0"/>
              <w:rPr>
                <w:b/>
              </w:rPr>
            </w:pPr>
            <w:r>
              <w:rPr>
                <w:b/>
              </w:rPr>
              <w:t>Description</w:t>
            </w:r>
          </w:p>
        </w:tc>
        <w:tc>
          <w:tcPr>
            <w:tcW w:w="0" w:type="auto"/>
          </w:tcPr>
          <w:p w14:paraId="4A368C1E" w14:textId="77777777" w:rsidR="000B4D04" w:rsidRDefault="00B90386">
            <w:pPr>
              <w:spacing w:before="100" w:after="0"/>
            </w:pPr>
            <w:r>
              <w:rPr>
                <w:color w:val="000000"/>
              </w:rPr>
              <w:t>Down-payment and closing cost assistance for qualified first-time homebuyers</w:t>
            </w:r>
          </w:p>
        </w:tc>
      </w:tr>
      <w:tr w:rsidR="000B4D04" w14:paraId="62659BE8" w14:textId="77777777">
        <w:trPr>
          <w:cantSplit/>
        </w:trPr>
        <w:tc>
          <w:tcPr>
            <w:tcW w:w="0" w:type="auto"/>
            <w:vMerge/>
          </w:tcPr>
          <w:p w14:paraId="030C18F2" w14:textId="77777777" w:rsidR="000B4D04" w:rsidRDefault="000B4D04"/>
        </w:tc>
        <w:tc>
          <w:tcPr>
            <w:tcW w:w="0" w:type="auto"/>
          </w:tcPr>
          <w:p w14:paraId="0225B743" w14:textId="77777777" w:rsidR="000B4D04" w:rsidRDefault="00B90386">
            <w:pPr>
              <w:keepNext/>
              <w:spacing w:before="100" w:after="0"/>
              <w:rPr>
                <w:b/>
              </w:rPr>
            </w:pPr>
            <w:r>
              <w:rPr>
                <w:b/>
              </w:rPr>
              <w:t>Target Date</w:t>
            </w:r>
          </w:p>
        </w:tc>
        <w:tc>
          <w:tcPr>
            <w:tcW w:w="0" w:type="auto"/>
          </w:tcPr>
          <w:p w14:paraId="7BF4336B" w14:textId="77777777" w:rsidR="000B4D04" w:rsidRDefault="00B90386">
            <w:pPr>
              <w:spacing w:before="100" w:after="0"/>
            </w:pPr>
            <w:r>
              <w:rPr>
                <w:color w:val="000000"/>
              </w:rPr>
              <w:t>6/30/2026</w:t>
            </w:r>
          </w:p>
        </w:tc>
      </w:tr>
      <w:tr w:rsidR="000B4D04" w14:paraId="57A53308" w14:textId="77777777">
        <w:trPr>
          <w:cantSplit/>
        </w:trPr>
        <w:tc>
          <w:tcPr>
            <w:tcW w:w="0" w:type="auto"/>
            <w:vMerge/>
          </w:tcPr>
          <w:p w14:paraId="6F1AF835" w14:textId="77777777" w:rsidR="000B4D04" w:rsidRDefault="000B4D04"/>
        </w:tc>
        <w:tc>
          <w:tcPr>
            <w:tcW w:w="0" w:type="auto"/>
          </w:tcPr>
          <w:p w14:paraId="78B0FCCA" w14:textId="77777777" w:rsidR="000B4D04" w:rsidRDefault="00B90386">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38DED52F" w14:textId="77777777" w:rsidR="000B4D04" w:rsidRDefault="00B90386">
            <w:pPr>
              <w:spacing w:before="100" w:after="0"/>
            </w:pPr>
            <w:r>
              <w:rPr>
                <w:color w:val="000000"/>
              </w:rPr>
              <w:t>The City's revamped First-Time HomeBuyer program provides $15,000 worth of downpayment and/or closing costs assistance for qualified first-time homebuyers.  Four (4) households are expected to benefit from this proposed Project.</w:t>
            </w:r>
          </w:p>
        </w:tc>
      </w:tr>
      <w:tr w:rsidR="000B4D04" w14:paraId="4952679F" w14:textId="77777777">
        <w:trPr>
          <w:cantSplit/>
        </w:trPr>
        <w:tc>
          <w:tcPr>
            <w:tcW w:w="0" w:type="auto"/>
            <w:vMerge/>
          </w:tcPr>
          <w:p w14:paraId="77A39444" w14:textId="77777777" w:rsidR="000B4D04" w:rsidRDefault="000B4D04"/>
        </w:tc>
        <w:tc>
          <w:tcPr>
            <w:tcW w:w="0" w:type="auto"/>
          </w:tcPr>
          <w:p w14:paraId="597BF727" w14:textId="77777777" w:rsidR="000B4D04" w:rsidRDefault="00B90386">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03C57627" w14:textId="77777777" w:rsidR="000B4D04" w:rsidRDefault="00B90386">
            <w:pPr>
              <w:spacing w:before="100" w:after="0"/>
            </w:pPr>
            <w:r>
              <w:rPr>
                <w:color w:val="000000"/>
              </w:rPr>
              <w:t>The location now will be citywide, given the difficulty of finding households with qualified offers who fall below 80% Area Median Income (AMI).  However, the CDBG Target Area will be prioritized to the greatest extent possible, in order to increase owner-occupancy rates in certain inner-city neighborhoods.</w:t>
            </w:r>
          </w:p>
        </w:tc>
      </w:tr>
      <w:tr w:rsidR="000B4D04" w14:paraId="714CFA2E" w14:textId="77777777">
        <w:trPr>
          <w:cantSplit/>
        </w:trPr>
        <w:tc>
          <w:tcPr>
            <w:tcW w:w="0" w:type="auto"/>
            <w:vMerge/>
          </w:tcPr>
          <w:p w14:paraId="795E141A" w14:textId="77777777" w:rsidR="000B4D04" w:rsidRDefault="000B4D04"/>
        </w:tc>
        <w:tc>
          <w:tcPr>
            <w:tcW w:w="0" w:type="auto"/>
          </w:tcPr>
          <w:p w14:paraId="29362561" w14:textId="77777777" w:rsidR="000B4D04" w:rsidRDefault="00B90386">
            <w:pPr>
              <w:keepNext/>
              <w:spacing w:before="100" w:after="0"/>
              <w:rPr>
                <w:rFonts w:asciiTheme="minorHAnsi" w:hAnsiTheme="minorHAnsi"/>
                <w:b/>
              </w:rPr>
            </w:pPr>
            <w:r>
              <w:rPr>
                <w:rStyle w:val="Strong"/>
                <w:rFonts w:asciiTheme="minorHAnsi" w:hAnsiTheme="minorHAnsi"/>
              </w:rPr>
              <w:t>Planned Activities</w:t>
            </w:r>
          </w:p>
        </w:tc>
        <w:tc>
          <w:tcPr>
            <w:tcW w:w="0" w:type="auto"/>
          </w:tcPr>
          <w:p w14:paraId="1D44BE80" w14:textId="77777777" w:rsidR="000B4D04" w:rsidRDefault="00B90386">
            <w:pPr>
              <w:spacing w:before="100" w:after="0"/>
            </w:pPr>
            <w:r>
              <w:rPr>
                <w:color w:val="000000"/>
              </w:rPr>
              <w:t>This Activity will provide up to $15,000 at closing of downpayment and closing cost assistance to qualified first-time homebuyers who have completed a State-certified homeowner financial literacy class.  This loan is fully forgivable after 5 years if the recipients keep the dwelling as their primary residence.</w:t>
            </w:r>
          </w:p>
        </w:tc>
      </w:tr>
    </w:tbl>
    <w:bookmarkEnd w:id="1"/>
    <w:p w14:paraId="3126B411" w14:textId="77777777" w:rsidR="000B4D04" w:rsidRDefault="00B90386">
      <w:pPr>
        <w:pStyle w:val="Heading2"/>
        <w:pageBreakBefore/>
        <w:widowControl w:val="0"/>
        <w:rPr>
          <w:rFonts w:ascii="Calibri" w:hAnsi="Calibri"/>
          <w:i w:val="0"/>
        </w:rPr>
      </w:pPr>
      <w:r>
        <w:rPr>
          <w:rFonts w:ascii="Calibri" w:hAnsi="Calibri"/>
          <w:i w:val="0"/>
        </w:rPr>
        <w:lastRenderedPageBreak/>
        <w:t>AP-50 Geographic Distribution - 91.420, 91.220(f)</w:t>
      </w:r>
    </w:p>
    <w:p w14:paraId="34D6C5AC" w14:textId="77777777" w:rsidR="000B4D04" w:rsidRDefault="00B90386">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14:paraId="2E6A14A1" w14:textId="77777777" w:rsidR="000B4D04" w:rsidRDefault="00B90386">
      <w:pPr>
        <w:keepNext/>
        <w:widowControl w:val="0"/>
        <w:spacing w:beforeAutospacing="1" w:afterAutospacing="1"/>
        <w:rPr>
          <w:rFonts w:cs="Arial"/>
          <w:szCs w:val="26"/>
        </w:rPr>
      </w:pPr>
      <w:r>
        <w:rPr>
          <w:rFonts w:cs="Arial"/>
        </w:rPr>
        <w:t>For the Program Year 2025 Annual Plan, as well as throughout the 2025-2029 Consolidated Plan period, the Target Area includes the following neighborhoods:</w:t>
      </w:r>
    </w:p>
    <w:p w14:paraId="36A6205B" w14:textId="1BB5331E" w:rsidR="000B4D04" w:rsidRDefault="00B90386">
      <w:pPr>
        <w:keepNext/>
        <w:widowControl w:val="0"/>
        <w:spacing w:beforeAutospacing="1" w:afterAutospacing="1"/>
        <w:rPr>
          <w:rFonts w:cs="Arial"/>
          <w:szCs w:val="26"/>
        </w:rPr>
      </w:pPr>
      <w:r>
        <w:rPr>
          <w:rFonts w:cs="Arial"/>
        </w:rPr>
        <w:t>-Downtown-  this includes the eastern section of the city's center on the north side of the Merrimack River affected negatively by Urban Renewal as well as the western end characterized by the Washington Street Shoe Historic District of fo</w:t>
      </w:r>
      <w:r w:rsidR="007F2FB7">
        <w:rPr>
          <w:rFonts w:cs="Arial"/>
        </w:rPr>
        <w:t>r</w:t>
      </w:r>
      <w:r>
        <w:rPr>
          <w:rFonts w:cs="Arial"/>
        </w:rPr>
        <w:t>mer manufacturing facilities, most of which have been converted.  This area is also a transit-oriented district, MBTA Communities zoning district, regional Priority Growth district and State-designated cultural district.</w:t>
      </w:r>
    </w:p>
    <w:p w14:paraId="1E3421EC" w14:textId="4C6A729B" w:rsidR="000B4D04" w:rsidRDefault="00B90386">
      <w:pPr>
        <w:keepNext/>
        <w:widowControl w:val="0"/>
        <w:spacing w:beforeAutospacing="1" w:afterAutospacing="1"/>
        <w:rPr>
          <w:rFonts w:cs="Arial"/>
          <w:szCs w:val="26"/>
        </w:rPr>
      </w:pPr>
      <w:r>
        <w:rPr>
          <w:rFonts w:cs="Arial"/>
        </w:rPr>
        <w:t xml:space="preserve">-Mount Washington- this is the most impoverished neighborhood in the city, featuring the highest minority concentration, being more than 50% Hispanic/Latino.  It is located just west of Downtown on a notable hill, bounded by the Boston and Main/MBTA/Amtrak train line to the east, River Street (Routes 110/113) to the south, and Broadway (Route 97) to the north.  The western boundary is less defined and often considered as Interstate 495.  This is a somewhat isolated yet </w:t>
      </w:r>
      <w:r w:rsidR="007F2FB7">
        <w:rPr>
          <w:rFonts w:cs="Arial"/>
        </w:rPr>
        <w:t>densely settled</w:t>
      </w:r>
      <w:r>
        <w:rPr>
          <w:rFonts w:cs="Arial"/>
        </w:rPr>
        <w:t xml:space="preserve"> community, settled originally by millworkers and shoe factory owners.  This area is a designated Neighborhood Revitalization Strategy Area (NRSA) in this Plan.</w:t>
      </w:r>
    </w:p>
    <w:p w14:paraId="51060C90" w14:textId="76C37F63" w:rsidR="000B4D04" w:rsidRDefault="00B90386">
      <w:pPr>
        <w:keepNext/>
        <w:widowControl w:val="0"/>
        <w:spacing w:beforeAutospacing="1" w:afterAutospacing="1"/>
        <w:rPr>
          <w:rFonts w:cs="Arial"/>
          <w:szCs w:val="26"/>
        </w:rPr>
      </w:pPr>
      <w:r>
        <w:rPr>
          <w:rFonts w:cs="Arial"/>
        </w:rPr>
        <w:t xml:space="preserve">-Lower Acre-  This is the </w:t>
      </w:r>
      <w:r w:rsidR="007F2FB7">
        <w:rPr>
          <w:rFonts w:cs="Arial"/>
        </w:rPr>
        <w:t>working-class</w:t>
      </w:r>
      <w:r>
        <w:rPr>
          <w:rFonts w:cs="Arial"/>
        </w:rPr>
        <w:t xml:space="preserve"> area due north of Downtown.  The rest of the Acre neighborhood north of the lower Acre has seen steady gains in income, employment, homeowner-occupancy rates, and other socioeconomic metrics, and is no longer considered as part of the Target area for the first time ever.  The Lower Acre is Haverhill's other minority-majority neighborhood, extending to 8th Avenue south towards Downtown and from Main Street to the east to Little River to the west.  This area is also designated as a NRSA in this Plan.</w:t>
      </w:r>
    </w:p>
    <w:p w14:paraId="701CC222" w14:textId="77777777" w:rsidR="000B4D04" w:rsidRDefault="00B90386">
      <w:pPr>
        <w:keepNext/>
        <w:widowControl w:val="0"/>
        <w:spacing w:beforeAutospacing="1" w:afterAutospacing="1"/>
        <w:rPr>
          <w:rFonts w:cs="Arial"/>
          <w:szCs w:val="26"/>
        </w:rPr>
      </w:pPr>
      <w:r>
        <w:rPr>
          <w:rFonts w:cs="Arial"/>
        </w:rPr>
        <w:t>-Hilldale/Broadway area- this area includes the neighborhood(s) between Broadway north and east of Mount Washington and extending east along Hilldale Avenue to the underutilized Little River, Haverhill's second largest waterway after the mighty Merrimack.  Again, Interstate 495 forms a boundary for this Target Area.</w:t>
      </w:r>
    </w:p>
    <w:p w14:paraId="1A5079AE" w14:textId="68F6D23B" w:rsidR="000B4D04" w:rsidRDefault="00B90386">
      <w:pPr>
        <w:keepNext/>
        <w:widowControl w:val="0"/>
        <w:spacing w:beforeAutospacing="1" w:afterAutospacing="1"/>
        <w:rPr>
          <w:rFonts w:cs="Arial"/>
          <w:szCs w:val="26"/>
        </w:rPr>
      </w:pPr>
      <w:r>
        <w:rPr>
          <w:rFonts w:cs="Arial"/>
        </w:rPr>
        <w:t xml:space="preserve">-Lower Bradford- this is a </w:t>
      </w:r>
      <w:r w:rsidR="007F2FB7">
        <w:rPr>
          <w:rFonts w:cs="Arial"/>
        </w:rPr>
        <w:t>working-class</w:t>
      </w:r>
      <w:r>
        <w:rPr>
          <w:rFonts w:cs="Arial"/>
        </w:rPr>
        <w:t xml:space="preserve"> area of Bradford east of South Main Street (Route 125) and north of Salem Street to the Merrimack River.  Bradford, once its own town, is the area of Haverhill on the south side of the Merrimack River and north of Salem Street;</w:t>
      </w:r>
    </w:p>
    <w:p w14:paraId="1C58CE45" w14:textId="320FE31D" w:rsidR="000B4D04" w:rsidRDefault="00B90386">
      <w:pPr>
        <w:keepNext/>
        <w:widowControl w:val="0"/>
        <w:spacing w:beforeAutospacing="1" w:afterAutospacing="1"/>
        <w:rPr>
          <w:rFonts w:cs="Arial"/>
          <w:szCs w:val="26"/>
        </w:rPr>
      </w:pPr>
      <w:r>
        <w:rPr>
          <w:rFonts w:cs="Arial"/>
        </w:rPr>
        <w:t xml:space="preserve">-Highlands neighborhood (partial)- this area has </w:t>
      </w:r>
      <w:r w:rsidR="007F2FB7">
        <w:rPr>
          <w:rFonts w:cs="Arial"/>
        </w:rPr>
        <w:t>traditionally</w:t>
      </w:r>
      <w:r>
        <w:rPr>
          <w:rFonts w:cs="Arial"/>
        </w:rPr>
        <w:t xml:space="preserve"> fluctuated from poor to rich areas very quickly, which large manses subdivided into multi-family units on the west end and less so on the </w:t>
      </w:r>
      <w:r>
        <w:rPr>
          <w:rFonts w:cs="Arial"/>
        </w:rPr>
        <w:lastRenderedPageBreak/>
        <w:t>wealthier eastern side;</w:t>
      </w:r>
    </w:p>
    <w:p w14:paraId="15EE008A" w14:textId="2688A0FC" w:rsidR="000B4D04" w:rsidRDefault="00B90386">
      <w:pPr>
        <w:keepNext/>
        <w:widowControl w:val="0"/>
        <w:spacing w:beforeAutospacing="1" w:afterAutospacing="1"/>
        <w:rPr>
          <w:rFonts w:cs="Arial"/>
          <w:szCs w:val="26"/>
        </w:rPr>
      </w:pPr>
      <w:r>
        <w:rPr>
          <w:rFonts w:cs="Arial"/>
        </w:rPr>
        <w:t>-River Street, leading westward from Downtown towards Interstate 495, this important gateway features all matter of zoning, including multifamil</w:t>
      </w:r>
      <w:r>
        <w:rPr>
          <w:rFonts w:cs="Arial"/>
        </w:rPr>
        <w:t>y housing that sprang up along the waterfront when the river was polluted and not an amenity;</w:t>
      </w:r>
    </w:p>
    <w:p w14:paraId="66976EF2" w14:textId="77777777" w:rsidR="000B4D04" w:rsidRDefault="00B90386">
      <w:pPr>
        <w:keepNext/>
        <w:widowControl w:val="0"/>
        <w:spacing w:beforeAutospacing="1" w:afterAutospacing="1"/>
        <w:rPr>
          <w:rFonts w:cs="Arial"/>
          <w:szCs w:val="26"/>
        </w:rPr>
      </w:pPr>
      <w:r>
        <w:rPr>
          <w:rFonts w:cs="Arial"/>
        </w:rPr>
        <w:t>-Ward Hill- this southwest corner of the City is a new entrant as a Target Area, featuring the affordable Presidential Gardens Neighborhood complex as well as many other multi-family developments all the way to the North Andover line</w:t>
      </w:r>
    </w:p>
    <w:p w14:paraId="5A881853" w14:textId="77777777" w:rsidR="000B4D04" w:rsidRDefault="00B90386">
      <w:pPr>
        <w:keepNext/>
        <w:widowControl w:val="0"/>
        <w:spacing w:beforeAutospacing="1" w:afterAutospacing="1"/>
        <w:rPr>
          <w:rFonts w:cs="Arial"/>
          <w:szCs w:val="26"/>
        </w:rPr>
      </w:pPr>
      <w:r>
        <w:rPr>
          <w:rFonts w:cs="Arial"/>
        </w:rPr>
        <w:t>-upper North Avenue --this is the only Target Area section north/west of Interstate 495, which rings much of the city.  All other Target Areas lie 'inside' of I-495.  Again, this area is dominated by large multi-family apartment complexes and a growing minority population.</w:t>
      </w:r>
    </w:p>
    <w:p w14:paraId="3219FCE6" w14:textId="77777777" w:rsidR="000B4D04" w:rsidRDefault="00B90386">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074"/>
      </w:tblGrid>
      <w:tr w:rsidR="000B4D04" w14:paraId="4E5267C6" w14:textId="77777777">
        <w:trPr>
          <w:cantSplit/>
          <w:tblHeader/>
        </w:trPr>
        <w:tc>
          <w:tcPr>
            <w:tcW w:w="0" w:type="auto"/>
          </w:tcPr>
          <w:p w14:paraId="2A07C7BE" w14:textId="77777777" w:rsidR="000B4D04" w:rsidRDefault="00B90386">
            <w:pPr>
              <w:keepNext/>
              <w:widowControl w:val="0"/>
              <w:spacing w:after="0" w:line="240" w:lineRule="auto"/>
              <w:jc w:val="center"/>
              <w:rPr>
                <w:b/>
                <w:szCs w:val="24"/>
              </w:rPr>
            </w:pPr>
            <w:r>
              <w:rPr>
                <w:b/>
              </w:rPr>
              <w:t>Target Area</w:t>
            </w:r>
          </w:p>
        </w:tc>
        <w:tc>
          <w:tcPr>
            <w:tcW w:w="0" w:type="auto"/>
          </w:tcPr>
          <w:p w14:paraId="078682BE" w14:textId="77777777" w:rsidR="000B4D04" w:rsidRDefault="00B90386">
            <w:pPr>
              <w:keepNext/>
              <w:widowControl w:val="0"/>
              <w:spacing w:after="0" w:line="240" w:lineRule="auto"/>
              <w:jc w:val="center"/>
              <w:rPr>
                <w:b/>
                <w:szCs w:val="24"/>
              </w:rPr>
            </w:pPr>
            <w:r>
              <w:rPr>
                <w:b/>
              </w:rPr>
              <w:t>Percentage of Funds</w:t>
            </w:r>
          </w:p>
        </w:tc>
      </w:tr>
      <w:tr w:rsidR="000B4D04" w14:paraId="716E8F8B" w14:textId="77777777">
        <w:trPr>
          <w:cantSplit/>
        </w:trPr>
        <w:tc>
          <w:tcPr>
            <w:tcW w:w="0" w:type="auto"/>
          </w:tcPr>
          <w:p w14:paraId="4A63EBF9" w14:textId="77777777" w:rsidR="000B4D04" w:rsidRDefault="00B90386">
            <w:pPr>
              <w:spacing w:beforeAutospacing="1" w:afterAutospacing="1"/>
            </w:pPr>
            <w:r>
              <w:rPr>
                <w:color w:val="000000"/>
              </w:rPr>
              <w:t>CDBG TARGET AREA</w:t>
            </w:r>
          </w:p>
        </w:tc>
        <w:tc>
          <w:tcPr>
            <w:tcW w:w="0" w:type="auto"/>
            <w:vAlign w:val="bottom"/>
          </w:tcPr>
          <w:p w14:paraId="76608F83" w14:textId="77777777" w:rsidR="000B4D04" w:rsidRDefault="00B90386">
            <w:pPr>
              <w:spacing w:beforeAutospacing="1" w:afterAutospacing="1"/>
              <w:jc w:val="right"/>
            </w:pPr>
            <w:r>
              <w:rPr>
                <w:color w:val="000000"/>
              </w:rPr>
              <w:t>83</w:t>
            </w:r>
          </w:p>
        </w:tc>
      </w:tr>
    </w:tbl>
    <w:p w14:paraId="3985CA8C" w14:textId="77777777" w:rsidR="000B4D04" w:rsidRDefault="00B90386">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14:paraId="5CB82ADC" w14:textId="77777777" w:rsidR="000B4D04" w:rsidRDefault="000B4D04">
      <w:pPr>
        <w:spacing w:after="0" w:line="240" w:lineRule="auto"/>
        <w:rPr>
          <w:b/>
          <w:sz w:val="24"/>
          <w:szCs w:val="24"/>
        </w:rPr>
      </w:pPr>
    </w:p>
    <w:p w14:paraId="20511723" w14:textId="77777777" w:rsidR="000B4D04" w:rsidRDefault="00B90386">
      <w:pPr>
        <w:keepNext/>
        <w:widowControl w:val="0"/>
        <w:rPr>
          <w:b/>
          <w:sz w:val="24"/>
          <w:szCs w:val="24"/>
        </w:rPr>
      </w:pPr>
      <w:r>
        <w:rPr>
          <w:b/>
          <w:sz w:val="24"/>
          <w:szCs w:val="24"/>
        </w:rPr>
        <w:t xml:space="preserve">Rationale for the priorities for allocating investments geographically </w:t>
      </w:r>
    </w:p>
    <w:p w14:paraId="61F14BB1" w14:textId="7ED672C6" w:rsidR="000B4D04" w:rsidRDefault="00B90386">
      <w:pPr>
        <w:keepNext/>
        <w:widowControl w:val="0"/>
        <w:spacing w:beforeAutospacing="1" w:afterAutospacing="1"/>
        <w:rPr>
          <w:rFonts w:cs="Arial"/>
          <w:szCs w:val="24"/>
        </w:rPr>
      </w:pPr>
      <w:r>
        <w:rPr>
          <w:rFonts w:cs="Arial"/>
        </w:rPr>
        <w:t xml:space="preserve">The greatest need is present in the Target Area.  These are often </w:t>
      </w:r>
      <w:r w:rsidR="007F2FB7">
        <w:rPr>
          <w:rFonts w:cs="Arial"/>
        </w:rPr>
        <w:t>chronically disinvested</w:t>
      </w:r>
      <w:r>
        <w:rPr>
          <w:rFonts w:cs="Arial"/>
        </w:rPr>
        <w:t xml:space="preserve"> neighborhoods that declined with the loss of the city's manufacturing base, as middle-class families moved to more suburban or rural neighborhoods.  These neighborhoods remain potential landing spots and hopefully launching pads for new Americans and minorities, along with more blue collar and working class families.</w:t>
      </w:r>
    </w:p>
    <w:p w14:paraId="00F1A510" w14:textId="45A6C7E5" w:rsidR="000B4D04" w:rsidRDefault="00B90386">
      <w:pPr>
        <w:keepNext/>
        <w:widowControl w:val="0"/>
        <w:spacing w:beforeAutospacing="1" w:afterAutospacing="1"/>
        <w:rPr>
          <w:rFonts w:cs="Arial"/>
          <w:szCs w:val="24"/>
        </w:rPr>
      </w:pPr>
      <w:r>
        <w:rPr>
          <w:rFonts w:cs="Arial"/>
        </w:rPr>
        <w:t xml:space="preserve">Mount Washington in particular has been a needy, </w:t>
      </w:r>
      <w:r w:rsidR="007F2FB7">
        <w:rPr>
          <w:rFonts w:cs="Arial"/>
        </w:rPr>
        <w:t>densely settled</w:t>
      </w:r>
      <w:r>
        <w:rPr>
          <w:rFonts w:cs="Arial"/>
        </w:rPr>
        <w:t xml:space="preserve"> yet geographically isolated area on a steep hill west of Downtown Haverhill.  A major community development focus has been to develop agencies to become subrecipients of CDBG funds in this neighborhood, to provide more equitable distribution of resources than just the Downtown and Lower Acre area where so many non-profits are traditionally located.  This emphasis and focus can be traced back to a Working Cities Grant from the Boston Federal Reserve that analyzed economic gains, or lack thereof, in the Moun</w:t>
      </w:r>
      <w:r>
        <w:rPr>
          <w:rFonts w:cs="Arial"/>
        </w:rPr>
        <w:t>t Washington area compared to the rest of the city.</w:t>
      </w:r>
    </w:p>
    <w:p w14:paraId="51560F88" w14:textId="77777777" w:rsidR="000B4D04" w:rsidRDefault="00B90386">
      <w:pPr>
        <w:keepNext/>
        <w:widowControl w:val="0"/>
        <w:spacing w:beforeAutospacing="1" w:afterAutospacing="1"/>
        <w:rPr>
          <w:rFonts w:cs="Arial"/>
          <w:szCs w:val="24"/>
        </w:rPr>
      </w:pPr>
      <w:r>
        <w:rPr>
          <w:rFonts w:cs="Arial"/>
        </w:rPr>
        <w:t>Poverty seems to be shifting westward and southwestward in Haverhill, based on an analysis of recent Target Maps.</w:t>
      </w:r>
    </w:p>
    <w:p w14:paraId="6D9EC180" w14:textId="77777777" w:rsidR="000B4D04" w:rsidRDefault="00B90386">
      <w:pPr>
        <w:keepNext/>
        <w:widowControl w:val="0"/>
        <w:spacing w:beforeAutospacing="1" w:afterAutospacing="1"/>
        <w:rPr>
          <w:rFonts w:cs="Arial"/>
          <w:szCs w:val="24"/>
        </w:rPr>
      </w:pPr>
      <w:r>
        <w:rPr>
          <w:rFonts w:cs="Arial"/>
        </w:rPr>
        <w:t xml:space="preserve">Target Area neighborhoods feature the greatest number of inferior housing units, the highest numbers of impoverished residents, lowest homeownership rates, highest incidence of crime and the lowest quality of life indicators.  The Target Area has the greatest need for economic redevelopment </w:t>
      </w:r>
      <w:r>
        <w:rPr>
          <w:rFonts w:cs="Arial"/>
        </w:rPr>
        <w:lastRenderedPageBreak/>
        <w:t>opportunities, safe/decent housing and enhanced quality of life that CDBG funds can address.</w:t>
      </w:r>
    </w:p>
    <w:p w14:paraId="7E7242C8" w14:textId="77777777" w:rsidR="000B4D04" w:rsidRDefault="00B90386">
      <w:pPr>
        <w:keepNext/>
        <w:widowControl w:val="0"/>
        <w:spacing w:beforeAutospacing="1" w:afterAutospacing="1"/>
        <w:rPr>
          <w:rFonts w:cs="Arial"/>
          <w:szCs w:val="24"/>
        </w:rPr>
      </w:pPr>
      <w:r>
        <w:rPr>
          <w:rFonts w:cs="Arial"/>
        </w:rPr>
        <w:t>In PY2025, the intent is to spend more than 5 of every 6 dollars in the Target Area, or at least 83%. The above 'Geographic Distribution' chart reveals this split, as both the Lower Acre and Mount Washington areas are local strategy areas that partially comprise the overall Target Area-- about a combined 50% of CDBG funds are estimated to be spent in these low-income neighborhoods.  In addition, 30% of CDBG funds are assumed for the various other neighborhoods of the Target Area not in Mount Washington or t</w:t>
      </w:r>
      <w:r>
        <w:rPr>
          <w:rFonts w:cs="Arial"/>
        </w:rPr>
        <w:t>he Lower Acre.  20% is planned for eligible activities outside of the Target Area.</w:t>
      </w:r>
    </w:p>
    <w:p w14:paraId="0078F975" w14:textId="77777777" w:rsidR="000B4D04" w:rsidRDefault="00B90386">
      <w:pPr>
        <w:keepNext/>
        <w:widowControl w:val="0"/>
        <w:spacing w:beforeAutospacing="1" w:afterAutospacing="1"/>
        <w:rPr>
          <w:rFonts w:cs="Arial"/>
          <w:szCs w:val="24"/>
        </w:rPr>
      </w:pPr>
      <w:r>
        <w:rPr>
          <w:rFonts w:cs="Arial"/>
        </w:rPr>
        <w:t>The focus on eliminating lead water lines continues all over the City for low-moderate income homeowners; this may dilute some of the CDBG allocation in the Target Area.</w:t>
      </w:r>
    </w:p>
    <w:p w14:paraId="3C06A84A" w14:textId="77777777" w:rsidR="000B4D04" w:rsidRDefault="00B90386">
      <w:pPr>
        <w:keepNext/>
        <w:widowControl w:val="0"/>
        <w:spacing w:beforeAutospacing="1" w:afterAutospacing="1"/>
        <w:rPr>
          <w:rFonts w:cs="Arial"/>
          <w:szCs w:val="24"/>
        </w:rPr>
      </w:pPr>
      <w:r>
        <w:rPr>
          <w:rFonts w:cs="Arial"/>
        </w:rPr>
        <w:t>PY25 also presents a dwindling opportunity to leverage CDBG funds within American Rescue Plan (ARP) high-poverty districts (Qualified Census Tracts), as well as the City's two designated Opportunity Zones (Census tracts 2601 and 2608) in the Highlands and Mount Washington respectively. This increases the priority for allocating CDBG investments through a geographic lens in particular.</w:t>
      </w:r>
    </w:p>
    <w:p w14:paraId="6672EDDB" w14:textId="77777777" w:rsidR="000B4D04" w:rsidRDefault="00B90386">
      <w:pPr>
        <w:keepNext/>
        <w:widowControl w:val="0"/>
        <w:spacing w:line="204" w:lineRule="auto"/>
        <w:rPr>
          <w:b/>
          <w:sz w:val="24"/>
          <w:szCs w:val="24"/>
        </w:rPr>
      </w:pPr>
      <w:r>
        <w:rPr>
          <w:b/>
          <w:sz w:val="24"/>
          <w:szCs w:val="24"/>
        </w:rPr>
        <w:t>Discussion</w:t>
      </w:r>
    </w:p>
    <w:p w14:paraId="621BE118" w14:textId="77777777" w:rsidR="000B4D04" w:rsidRDefault="00B90386">
      <w:pPr>
        <w:keepNext/>
        <w:widowControl w:val="0"/>
        <w:spacing w:beforeAutospacing="1" w:afterAutospacing="1"/>
        <w:rPr>
          <w:b/>
          <w:sz w:val="24"/>
          <w:szCs w:val="24"/>
        </w:rPr>
      </w:pPr>
      <w:r>
        <w:rPr>
          <w:rFonts w:cs="Arial"/>
        </w:rPr>
        <w:t>Most Haverhill residents live in an area where everyone around them owns their own house, or nobody around them owns their own house.  Those two Haverhills are dramatically different, and bridging these gaps remains a key policy aim of our Community Development Block Grant (CDBG) program.  For these reasons, the Program Year 2025 Plan seeks to connect residents of these low owner-occupancy neighborhoods with opportunity-- starting a business, growing economic development in their own neighborhoods, providin</w:t>
      </w:r>
      <w:r>
        <w:rPr>
          <w:rFonts w:cs="Arial"/>
        </w:rPr>
        <w:t>g them child care, fixing their sidewalk or local park, rehabilitating their properties, prioritizing service delivery to their neighborhood by non-profit subrecipients, or helping them buy a home.  In a community as physically large and socioeconomically diverse as Haverhill, geography matters, and geographic distribution of CDBG resources will be closely monitored to ensure equity and progress in chronically underserved areas.</w:t>
      </w:r>
    </w:p>
    <w:p w14:paraId="62973D31" w14:textId="77777777" w:rsidR="000B4D04" w:rsidRDefault="00B90386">
      <w:pPr>
        <w:keepNext/>
        <w:widowControl w:val="0"/>
        <w:spacing w:beforeAutospacing="1" w:afterAutospacing="1"/>
        <w:rPr>
          <w:b/>
          <w:sz w:val="24"/>
          <w:szCs w:val="24"/>
        </w:rPr>
      </w:pPr>
      <w:r>
        <w:rPr>
          <w:rFonts w:cs="Arial"/>
        </w:rPr>
        <w:t>The second election cycle has occurred of a dramatic political transformation, as the City changed its form of government from an all at-large City Council to a ward-based system of Council representation.  This should ensure more minority representation, especially in Wards 1,2 and 3 in the CDBG Target Area, as well as political attention being paid to these urban neighborhoods.</w:t>
      </w:r>
    </w:p>
    <w:p w14:paraId="5F137B15" w14:textId="77777777" w:rsidR="000B4D04" w:rsidRDefault="000B4D04">
      <w:pPr>
        <w:rPr>
          <w:rFonts w:cs="Arial"/>
        </w:rPr>
      </w:pPr>
    </w:p>
    <w:p w14:paraId="0965BF41" w14:textId="77777777" w:rsidR="000B4D04" w:rsidRDefault="000B4D04">
      <w:pPr>
        <w:pStyle w:val="Heading2"/>
        <w:pageBreakBefore/>
        <w:widowControl w:val="0"/>
        <w:rPr>
          <w:rFonts w:ascii="Calibri" w:hAnsi="Calibri"/>
          <w:i w:val="0"/>
        </w:rPr>
        <w:sectPr w:rsidR="000B4D04">
          <w:pgSz w:w="12240" w:h="15840"/>
          <w:pgMar w:top="1440" w:right="1440" w:bottom="1440" w:left="1440" w:header="720" w:footer="720" w:gutter="0"/>
          <w:cols w:space="720"/>
          <w:docGrid w:linePitch="360"/>
        </w:sectPr>
      </w:pPr>
    </w:p>
    <w:p w14:paraId="1F66E64D" w14:textId="77777777" w:rsidR="000B4D04" w:rsidRDefault="000B4D04">
      <w:pPr>
        <w:keepNext/>
        <w:widowControl w:val="0"/>
        <w:spacing w:after="0" w:line="240" w:lineRule="auto"/>
        <w:jc w:val="center"/>
        <w:rPr>
          <w:rFonts w:cs="Arial"/>
        </w:rPr>
      </w:pPr>
    </w:p>
    <w:p w14:paraId="499DC89A" w14:textId="77777777" w:rsidR="000B4D04" w:rsidRDefault="000B4D04">
      <w:pPr>
        <w:pStyle w:val="Heading2"/>
        <w:pageBreakBefore/>
        <w:widowControl w:val="0"/>
        <w:rPr>
          <w:rFonts w:ascii="Calibri" w:hAnsi="Calibri"/>
          <w:i w:val="0"/>
        </w:rPr>
        <w:sectPr w:rsidR="000B4D04">
          <w:pgSz w:w="15840" w:h="12240" w:orient="landscape"/>
          <w:pgMar w:top="1440" w:right="1440" w:bottom="1440" w:left="1440" w:header="720" w:footer="720" w:gutter="0"/>
          <w:cols w:space="720"/>
          <w:docGrid w:linePitch="360"/>
        </w:sectPr>
      </w:pPr>
    </w:p>
    <w:p w14:paraId="4525915D" w14:textId="77777777" w:rsidR="000B4D04" w:rsidRDefault="00B90386">
      <w:pPr>
        <w:pStyle w:val="Heading2"/>
        <w:pageBreakBefore/>
        <w:widowControl w:val="0"/>
        <w:rPr>
          <w:rFonts w:ascii="Calibri" w:hAnsi="Calibri"/>
          <w:i w:val="0"/>
        </w:rPr>
      </w:pPr>
      <w:r>
        <w:rPr>
          <w:rFonts w:ascii="Calibri" w:hAnsi="Calibri"/>
          <w:i w:val="0"/>
        </w:rPr>
        <w:lastRenderedPageBreak/>
        <w:t>AP-85 Other Actions - 91.420, 91.220(k)</w:t>
      </w:r>
    </w:p>
    <w:p w14:paraId="4D467952" w14:textId="77777777" w:rsidR="000B4D04" w:rsidRDefault="00B90386">
      <w:pPr>
        <w:keepNext/>
        <w:widowControl w:val="0"/>
        <w:spacing w:line="204" w:lineRule="auto"/>
        <w:rPr>
          <w:b/>
          <w:sz w:val="24"/>
          <w:szCs w:val="24"/>
        </w:rPr>
      </w:pPr>
      <w:r>
        <w:rPr>
          <w:b/>
          <w:sz w:val="24"/>
          <w:szCs w:val="24"/>
        </w:rPr>
        <w:t>Introduction</w:t>
      </w:r>
    </w:p>
    <w:p w14:paraId="23A92525" w14:textId="77777777" w:rsidR="000B4D04" w:rsidRDefault="00B90386">
      <w:pPr>
        <w:keepNext/>
        <w:widowControl w:val="0"/>
        <w:spacing w:beforeAutospacing="1" w:afterAutospacing="1"/>
        <w:rPr>
          <w:b/>
          <w:sz w:val="24"/>
          <w:szCs w:val="24"/>
        </w:rPr>
      </w:pPr>
      <w:r>
        <w:rPr>
          <w:rFonts w:cs="Arial"/>
        </w:rPr>
        <w:t>The Consolidated Plan seeks to prepare for community development and economic development issues that will affect the quality of life in the city over the rest of the decade.  In these unpredictable times, this is a very difficult proposition.</w:t>
      </w:r>
    </w:p>
    <w:p w14:paraId="2B02B490" w14:textId="7BFF157E" w:rsidR="000B4D04" w:rsidRDefault="00B90386">
      <w:pPr>
        <w:keepNext/>
        <w:widowControl w:val="0"/>
        <w:spacing w:beforeAutospacing="1" w:afterAutospacing="1"/>
        <w:rPr>
          <w:b/>
          <w:sz w:val="24"/>
          <w:szCs w:val="24"/>
        </w:rPr>
      </w:pPr>
      <w:r>
        <w:rPr>
          <w:rFonts w:cs="Arial"/>
        </w:rPr>
        <w:t xml:space="preserve">Nevertheless, analysis of current trends and existing reports provides some context of what may be in store.  Certainly there is a need for the City to recover from the lack of investment the City was unable to make during the 20+ year saga of the Hale Hospital debt, the largest debt </w:t>
      </w:r>
      <w:r w:rsidR="007F2FB7">
        <w:rPr>
          <w:rFonts w:cs="Arial"/>
        </w:rPr>
        <w:t>incurred</w:t>
      </w:r>
      <w:r>
        <w:rPr>
          <w:rFonts w:cs="Arial"/>
        </w:rPr>
        <w:t xml:space="preserve"> by any municipality in the history of the Commonwealth.  With the debt behind the City, it is time to catch up on many items that could not be addressed during that time.  There is also a housing crisis that means that the city does not have a housing unit to waste, making housing rehabilitation and enhanced code enforcement so important.  There also exists a need to position economic development efforts with an eye towards the jobs of the 21st century, and to do so with an increasingly diverse populace.</w:t>
      </w:r>
    </w:p>
    <w:p w14:paraId="21D5D407" w14:textId="77777777" w:rsidR="000B4D04" w:rsidRDefault="00B90386">
      <w:pPr>
        <w:keepNext/>
        <w:widowControl w:val="0"/>
        <w:spacing w:beforeAutospacing="1" w:afterAutospacing="1"/>
        <w:rPr>
          <w:b/>
          <w:sz w:val="24"/>
          <w:szCs w:val="24"/>
        </w:rPr>
      </w:pPr>
      <w:r>
        <w:rPr>
          <w:rFonts w:cs="Arial"/>
        </w:rPr>
        <w:t>These are some of the overarching issues that drive the development of this Consolidated Plan. </w:t>
      </w:r>
    </w:p>
    <w:p w14:paraId="2333D09C" w14:textId="77777777" w:rsidR="000B4D04" w:rsidRDefault="00B90386">
      <w:pPr>
        <w:keepNext/>
        <w:widowControl w:val="0"/>
        <w:rPr>
          <w:b/>
          <w:sz w:val="24"/>
          <w:szCs w:val="24"/>
        </w:rPr>
      </w:pPr>
      <w:r>
        <w:rPr>
          <w:b/>
          <w:sz w:val="24"/>
          <w:szCs w:val="24"/>
        </w:rPr>
        <w:t>Actions planned to address obstacles to meeting underserved needs</w:t>
      </w:r>
    </w:p>
    <w:p w14:paraId="15D6AFC4" w14:textId="44C08A78" w:rsidR="000B4D04" w:rsidRDefault="00B90386">
      <w:pPr>
        <w:keepNext/>
        <w:widowControl w:val="0"/>
        <w:spacing w:beforeAutospacing="1" w:afterAutospacing="1"/>
        <w:rPr>
          <w:rFonts w:cs="Arial"/>
        </w:rPr>
      </w:pPr>
      <w:r>
        <w:rPr>
          <w:rFonts w:cs="Arial"/>
        </w:rPr>
        <w:t xml:space="preserve">Some underserved needs that emerged post-Pandemic continue to be areas of focus/concern in Program Year 2025, such as youth mental health issues due to the effects of COVID-era social isolation, or the scarcity of workers returning to the workforce.  This Plan attempts to make inroads into these areas (continuing focus on economic development, youth enrichment, food security, encouraging labor participation through </w:t>
      </w:r>
      <w:r w:rsidR="007F2FB7">
        <w:rPr>
          <w:rFonts w:cs="Arial"/>
        </w:rPr>
        <w:t>childcare</w:t>
      </w:r>
      <w:r>
        <w:rPr>
          <w:rFonts w:cs="Arial"/>
        </w:rPr>
        <w:t>, etc.).  For example, linking CDBG investments with the City’s Youth and Mental Fund is a key strategy.</w:t>
      </w:r>
    </w:p>
    <w:p w14:paraId="6821A36E" w14:textId="77777777" w:rsidR="000B4D04" w:rsidRDefault="00B90386">
      <w:pPr>
        <w:keepNext/>
        <w:widowControl w:val="0"/>
        <w:spacing w:beforeAutospacing="1" w:afterAutospacing="1"/>
        <w:rPr>
          <w:rFonts w:cs="Arial"/>
        </w:rPr>
      </w:pPr>
      <w:r>
        <w:rPr>
          <w:rFonts w:cs="Arial"/>
        </w:rPr>
        <w:t>Geographically, Mount Washington remains the area of primary focus, along with the Lower Acre neighborhood.  Such narrowed geographic focus concentrates Code Enforcement resources to address dilapidated, code-deficient, and overcrowded housing in these areas.  These neighborhoods converge in Lafayette Square, where a stalled development of the sprawling and blighted Pentucket Mills complex on Stevens Street is linked to the complicated removal of a connected failing private dam on the Little River.  A State</w:t>
      </w:r>
      <w:r>
        <w:rPr>
          <w:rFonts w:cs="Arial"/>
        </w:rPr>
        <w:t xml:space="preserve"> grant makes plans for the City to assume and eliminate this privately-owned dam and the contaminated sediment behind it.  Keeping this high-profile brownfields site safe, secure and redeveloped is of highest concern in this critical lynchpin of an area</w:t>
      </w:r>
      <w:r>
        <w:rPr>
          <w:rFonts w:cs="Arial"/>
          <w:i/>
        </w:rPr>
        <w:t>.</w:t>
      </w:r>
    </w:p>
    <w:p w14:paraId="6D8799C3" w14:textId="1D59AD64" w:rsidR="000B4D04" w:rsidRDefault="00B90386">
      <w:pPr>
        <w:keepNext/>
        <w:widowControl w:val="0"/>
        <w:spacing w:beforeAutospacing="1" w:afterAutospacing="1"/>
        <w:rPr>
          <w:rFonts w:cs="Arial"/>
        </w:rPr>
      </w:pPr>
      <w:r>
        <w:rPr>
          <w:rFonts w:cs="Arial"/>
        </w:rPr>
        <w:t xml:space="preserve">Gang activity and recruitment, food insecurity, housing assistance, safe streets and sidewalks, access to </w:t>
      </w:r>
      <w:r w:rsidR="007F2FB7">
        <w:rPr>
          <w:rFonts w:cs="Arial"/>
        </w:rPr>
        <w:t>childcare</w:t>
      </w:r>
      <w:r>
        <w:rPr>
          <w:rFonts w:cs="Arial"/>
        </w:rPr>
        <w:t xml:space="preserve">, mental health needs and drug abuse issues in these two neighborhoods (Mt. Washington and the Acre) represent the most salient unmet needs, according to various community feedback, after the paramount concern of housing affordability.  These two areas will be designated as Neighborhood </w:t>
      </w:r>
      <w:r>
        <w:rPr>
          <w:rFonts w:cs="Arial"/>
        </w:rPr>
        <w:lastRenderedPageBreak/>
        <w:t>Revitalization Strategy Areas in this Plan.</w:t>
      </w:r>
    </w:p>
    <w:p w14:paraId="0622AFC6" w14:textId="77777777" w:rsidR="000B4D04" w:rsidRDefault="00B90386">
      <w:pPr>
        <w:keepNext/>
        <w:widowControl w:val="0"/>
        <w:spacing w:beforeAutospacing="1" w:afterAutospacing="1"/>
        <w:rPr>
          <w:rFonts w:cs="Arial"/>
        </w:rPr>
      </w:pPr>
      <w:r>
        <w:rPr>
          <w:rFonts w:cs="Arial"/>
        </w:rPr>
        <w:t>Additional community policing, gang prevention/eradication efforts, and substance abuse treatment options are also critical unmet needs</w:t>
      </w:r>
      <w:r>
        <w:rPr>
          <w:rFonts w:cs="Arial"/>
          <w:i/>
        </w:rPr>
        <w:t>. </w:t>
      </w:r>
      <w:r>
        <w:rPr>
          <w:rFonts w:cs="Arial"/>
        </w:rPr>
        <w:t>Opioid abuse continues to affect Haverhill residents, with highest numbers in the CDBG Target Area, although overdoses and deaths were down again over the past year.</w:t>
      </w:r>
      <w:r>
        <w:rPr>
          <w:rFonts w:cs="Arial"/>
          <w:i/>
        </w:rPr>
        <w:br/>
      </w:r>
    </w:p>
    <w:p w14:paraId="7BBE01FD" w14:textId="77777777" w:rsidR="000B4D04" w:rsidRDefault="00B90386">
      <w:pPr>
        <w:keepNext/>
        <w:widowControl w:val="0"/>
        <w:spacing w:beforeAutospacing="1" w:afterAutospacing="1"/>
        <w:rPr>
          <w:rFonts w:cs="Arial"/>
        </w:rPr>
      </w:pPr>
      <w:r>
        <w:rPr>
          <w:rFonts w:cs="Arial"/>
        </w:rPr>
        <w:t>Better equipped, supplied and organized food banks, pantries and meals programs, with support from the United Way and private donors and volunteers, are working hard and collectively to address food insecurity still worse than pre-pandemic levels.  In PY25, plans continue to obtain additional emergency electric generators and other critical infrastructure for these facilities if funding allows, addressing an unmet need to ensure sustainability in an era of climate change volatility and extreme weather.</w:t>
      </w:r>
    </w:p>
    <w:p w14:paraId="435F368E" w14:textId="77777777" w:rsidR="000B4D04" w:rsidRDefault="00B90386">
      <w:pPr>
        <w:keepNext/>
        <w:widowControl w:val="0"/>
        <w:spacing w:beforeAutospacing="1" w:afterAutospacing="1"/>
        <w:rPr>
          <w:rFonts w:cs="Arial"/>
        </w:rPr>
      </w:pPr>
      <w:r>
        <w:rPr>
          <w:rFonts w:cs="Arial"/>
        </w:rPr>
        <w:t>There is an unmet need to assist burned-out families after Red Cross resources are exhausted after fires, which seemingly involve displacement of more residents at every occurrence.</w:t>
      </w:r>
    </w:p>
    <w:p w14:paraId="36BCB1F0" w14:textId="77777777" w:rsidR="000B4D04" w:rsidRDefault="00B90386">
      <w:pPr>
        <w:keepNext/>
        <w:widowControl w:val="0"/>
        <w:spacing w:beforeAutospacing="1" w:afterAutospacing="1"/>
        <w:rPr>
          <w:rFonts w:cs="Arial"/>
        </w:rPr>
      </w:pPr>
      <w:r>
        <w:rPr>
          <w:rFonts w:cs="Arial"/>
        </w:rPr>
        <w:t>Connecting small and minority-owned business and entrepreneurs with assistance is another unmet need being met with CDBG assistance to MakeIT Haverhill and the Latino Coalition, etc. </w:t>
      </w:r>
    </w:p>
    <w:p w14:paraId="0003218D" w14:textId="77777777" w:rsidR="000B4D04" w:rsidRDefault="00B90386">
      <w:pPr>
        <w:keepNext/>
        <w:widowControl w:val="0"/>
        <w:spacing w:beforeAutospacing="1" w:afterAutospacing="1"/>
        <w:rPr>
          <w:rFonts w:cs="Arial"/>
        </w:rPr>
      </w:pPr>
      <w:r>
        <w:rPr>
          <w:rFonts w:cs="Arial"/>
        </w:rPr>
        <w:t>Communication in the social media age, with emerging online community groups and an increasingly reclusive, non-English speaking, and misinformed populace, presents a major obstacle to meeting underserved needs. The City does not and cannot assume those in need are actually aware of how to request services.  The City’s 3-1-1 constituent management system provides one centralized phone number for all City requests, staffed by cross-trained bilingual operators.  Dissemination of the Haverhill Resource Guide i</w:t>
      </w:r>
      <w:r>
        <w:rPr>
          <w:rFonts w:cs="Arial"/>
        </w:rPr>
        <w:t>s another key tool, as this pamphlet is constantly being updated by Emmaus's Interfaith Network of Compassion (INC) circle and is available in multiple languages.</w:t>
      </w:r>
    </w:p>
    <w:p w14:paraId="132ADE24" w14:textId="77777777" w:rsidR="000B4D04" w:rsidRDefault="00B90386">
      <w:pPr>
        <w:keepNext/>
        <w:widowControl w:val="0"/>
        <w:rPr>
          <w:b/>
          <w:sz w:val="24"/>
          <w:szCs w:val="24"/>
        </w:rPr>
      </w:pPr>
      <w:r>
        <w:rPr>
          <w:b/>
          <w:sz w:val="24"/>
          <w:szCs w:val="24"/>
        </w:rPr>
        <w:t>Actions planned to foster and maintain affordable housing</w:t>
      </w:r>
    </w:p>
    <w:p w14:paraId="6E98BC3B" w14:textId="77777777" w:rsidR="000B4D04" w:rsidRDefault="00B90386">
      <w:pPr>
        <w:keepNext/>
        <w:widowControl w:val="0"/>
        <w:spacing w:beforeAutospacing="1" w:afterAutospacing="1"/>
        <w:rPr>
          <w:rFonts w:cs="Arial"/>
        </w:rPr>
      </w:pPr>
      <w:r>
        <w:rPr>
          <w:rFonts w:cs="Arial"/>
        </w:rPr>
        <w:t>The City will strategically deploy its FFY2025 HOME allocation to foster affordable housing and prevent Expiring Uses of currently regulated affordable units.  In addition, the City will realize this upcoming year the first funds into the Affordable Housing Trust created after the 2023 Inclusionary Zoning reforms, which can augment local HOME funds which are decreasing and in legislative peril on Capitol Hill.</w:t>
      </w:r>
    </w:p>
    <w:p w14:paraId="747A1117" w14:textId="64AC291E" w:rsidR="000B4D04" w:rsidRDefault="00B90386">
      <w:pPr>
        <w:keepNext/>
        <w:widowControl w:val="0"/>
        <w:spacing w:beforeAutospacing="1" w:afterAutospacing="1"/>
        <w:rPr>
          <w:rFonts w:cs="Arial"/>
        </w:rPr>
      </w:pPr>
      <w:r>
        <w:rPr>
          <w:rFonts w:cs="Arial"/>
        </w:rPr>
        <w:t xml:space="preserve">The City is working aggressively with Essex Habitat for Humanity to develop affordable housing opportunities, especially in Mount Washington.  In this upcoming program year, HOME funds are supporting acquisition of a mansion at 512 Washington Street to be converted with its </w:t>
      </w:r>
      <w:r w:rsidR="007F2FB7">
        <w:rPr>
          <w:rFonts w:cs="Arial"/>
        </w:rPr>
        <w:t>outbuildings</w:t>
      </w:r>
      <w:r>
        <w:rPr>
          <w:rFonts w:cs="Arial"/>
        </w:rPr>
        <w:t xml:space="preserve"> into 7 affordable condominium units.</w:t>
      </w:r>
    </w:p>
    <w:p w14:paraId="09EE85F0" w14:textId="77777777" w:rsidR="000B4D04" w:rsidRDefault="00B90386">
      <w:pPr>
        <w:keepNext/>
        <w:widowControl w:val="0"/>
        <w:spacing w:beforeAutospacing="1" w:afterAutospacing="1"/>
        <w:rPr>
          <w:rFonts w:cs="Arial"/>
        </w:rPr>
      </w:pPr>
      <w:r>
        <w:rPr>
          <w:rFonts w:cs="Arial"/>
        </w:rPr>
        <w:t xml:space="preserve">Likewise, the City is excited to partner with a more aggressive Housing Authority (and its Shoe City Development arm) for its Hilldale Avenue relocation and expansion project (which includes a new, </w:t>
      </w:r>
      <w:r>
        <w:rPr>
          <w:rFonts w:cs="Arial"/>
        </w:rPr>
        <w:lastRenderedPageBreak/>
        <w:t>enlarged and improved Head Start facility).</w:t>
      </w:r>
    </w:p>
    <w:p w14:paraId="1E94EEEE" w14:textId="07ADFCC0" w:rsidR="000B4D04" w:rsidRDefault="00B90386">
      <w:pPr>
        <w:keepNext/>
        <w:widowControl w:val="0"/>
        <w:spacing w:beforeAutospacing="1" w:afterAutospacing="1"/>
        <w:rPr>
          <w:rFonts w:cs="Arial"/>
        </w:rPr>
      </w:pPr>
      <w:r>
        <w:rPr>
          <w:rFonts w:cs="Arial"/>
        </w:rPr>
        <w:t xml:space="preserve">With HHA, the City will be evaluating ways in which to make the plaza at Washington Square, which is mostly uneven cobblestone, more accommodating and welcoming for the HHA seniors who live in front of it. A reimagined plan for this central public space was developed with ARPA funding.  Along with the HousingWorks program, the City will evaluate Neighborhood </w:t>
      </w:r>
      <w:r w:rsidR="007F2FB7">
        <w:rPr>
          <w:rFonts w:cs="Arial"/>
        </w:rPr>
        <w:t>Stabilization</w:t>
      </w:r>
      <w:r>
        <w:rPr>
          <w:rFonts w:cs="Arial"/>
        </w:rPr>
        <w:t xml:space="preserve"> Program (NSP) grants and other offerings and opportunities from the State. The City is actively supporting the efforts of the HHA to reopen a vacant 4-unit residence at 335 Groveland Street in Riverside. Aside this property across Katsaros Drive.  CDBG funds will complete enhancement of the former Zins Playground pocket park site across the street to support these new affordable units as well as this neighborhood. Through this and other efforts, the City will build off enhancements at HHA’s Kennedy Circle </w:t>
      </w:r>
      <w:r>
        <w:rPr>
          <w:rFonts w:cs="Arial"/>
        </w:rPr>
        <w:t>complex.</w:t>
      </w:r>
    </w:p>
    <w:p w14:paraId="529ED06A" w14:textId="77777777" w:rsidR="000B4D04" w:rsidRDefault="00B90386">
      <w:pPr>
        <w:keepNext/>
        <w:widowControl w:val="0"/>
        <w:spacing w:beforeAutospacing="1" w:afterAutospacing="1"/>
        <w:rPr>
          <w:rFonts w:cs="Arial"/>
        </w:rPr>
      </w:pPr>
      <w:r>
        <w:rPr>
          <w:rFonts w:cs="Arial"/>
        </w:rPr>
        <w:t>Bethany Community Services and the YMCA both have proposed affordable housing projects near City Hall.  Bethany specializes in elder housing, a growing need based on demographics outlined in the Housing Production Plan.  The YMCA is seeking to expand family housing units onto the back of its current facility on Winter Street if they can successfully build a new YMCA facility (including gymnasium and pool) somewhere else in the city.  </w:t>
      </w:r>
    </w:p>
    <w:p w14:paraId="31AE55F0" w14:textId="77777777" w:rsidR="000B4D04" w:rsidRDefault="00B90386">
      <w:pPr>
        <w:keepNext/>
        <w:widowControl w:val="0"/>
        <w:spacing w:beforeAutospacing="1" w:afterAutospacing="1"/>
        <w:rPr>
          <w:rFonts w:cs="Arial"/>
        </w:rPr>
      </w:pPr>
      <w:r>
        <w:rPr>
          <w:rFonts w:cs="Arial"/>
        </w:rPr>
        <w:t>In addition, Community Action may be able to add units at its Presidential Gardens complex. There is a need to downsize senior residents who started in family units but whose children have grown and left, leaving unused bedrooms.</w:t>
      </w:r>
    </w:p>
    <w:p w14:paraId="0823B374" w14:textId="77777777" w:rsidR="000B4D04" w:rsidRDefault="00B90386">
      <w:pPr>
        <w:keepNext/>
        <w:widowControl w:val="0"/>
        <w:rPr>
          <w:b/>
          <w:sz w:val="24"/>
          <w:szCs w:val="24"/>
        </w:rPr>
      </w:pPr>
      <w:r>
        <w:rPr>
          <w:b/>
          <w:sz w:val="24"/>
          <w:szCs w:val="24"/>
        </w:rPr>
        <w:t>Actions planned to reduce lead-based paint hazards</w:t>
      </w:r>
    </w:p>
    <w:p w14:paraId="5CA825C2" w14:textId="77777777" w:rsidR="000B4D04" w:rsidRDefault="00B90386">
      <w:pPr>
        <w:keepNext/>
        <w:widowControl w:val="0"/>
        <w:spacing w:beforeAutospacing="1" w:afterAutospacing="1"/>
        <w:rPr>
          <w:rFonts w:cs="Arial"/>
        </w:rPr>
      </w:pPr>
      <w:r>
        <w:rPr>
          <w:rFonts w:cs="Arial"/>
        </w:rPr>
        <w:t>The City continues to strategically undertake some de-leading activities through its Housing Rehabilitation programs (notably HRCCP).  However, given the expenses and complexities of lead-based paint removal, such activities are targeted and limited, occurring when needed and practical as part of other code correction work.</w:t>
      </w:r>
    </w:p>
    <w:p w14:paraId="39BD5B4B" w14:textId="77777777" w:rsidR="000B4D04" w:rsidRDefault="00B90386">
      <w:pPr>
        <w:keepNext/>
        <w:widowControl w:val="0"/>
        <w:spacing w:beforeAutospacing="1" w:afterAutospacing="1"/>
        <w:rPr>
          <w:rFonts w:cs="Arial"/>
        </w:rPr>
      </w:pPr>
      <w:r>
        <w:rPr>
          <w:rFonts w:cs="Arial"/>
        </w:rPr>
        <w:t>Additionally, the City serves as an agent to MassHousing's Get the Lead Out program, which administers low-interest loans for low-moderate income homeowners up to 110% of Area Median Income (AMI). The City averages 3 or more projects per year through this program to reduce lead-based paint hazards in the community.</w:t>
      </w:r>
    </w:p>
    <w:p w14:paraId="30642197" w14:textId="77777777" w:rsidR="000B4D04" w:rsidRDefault="00B90386">
      <w:pPr>
        <w:keepNext/>
        <w:widowControl w:val="0"/>
        <w:spacing w:beforeAutospacing="1" w:afterAutospacing="1"/>
        <w:rPr>
          <w:rFonts w:cs="Arial"/>
        </w:rPr>
      </w:pPr>
      <w:r>
        <w:rPr>
          <w:rFonts w:cs="Arial"/>
        </w:rPr>
        <w:t>Obviously, such small measures are not sufficient to combat the hazards of lead-based paint.  This is especially true during the Housing Crisis, during which childhood lead poisoning rates have increased as more families live in illegal units in attics, basements. closets and other areas that more greatly expose them to lead-based paint hazards. </w:t>
      </w:r>
    </w:p>
    <w:p w14:paraId="0C69736D" w14:textId="77777777" w:rsidR="000B4D04" w:rsidRDefault="00B90386">
      <w:pPr>
        <w:keepNext/>
        <w:widowControl w:val="0"/>
        <w:spacing w:beforeAutospacing="1" w:afterAutospacing="1"/>
        <w:rPr>
          <w:rFonts w:cs="Arial"/>
        </w:rPr>
      </w:pPr>
      <w:r>
        <w:rPr>
          <w:rFonts w:cs="Arial"/>
        </w:rPr>
        <w:t xml:space="preserve">In response to this shortcoming, the City applied for and was awarded in 2024 a $2.4 million 3-year Lead Hazards Control Capacity Building grant from HUD.  This grant funded initiative is establishing a comprehensive citywide lead removal program through Community Development (with dedicated </w:t>
      </w:r>
      <w:r>
        <w:rPr>
          <w:rFonts w:cs="Arial"/>
        </w:rPr>
        <w:lastRenderedPageBreak/>
        <w:t>additional staff) seeking to eventually de-lead 25 properties a year on average.  Significant CDBG housing rehab and Program Income funds are serving as critical match for this program. This grant represents a quantum leap in terms of the ability of the City to reduce lead-based paint hazards.</w:t>
      </w:r>
    </w:p>
    <w:p w14:paraId="447DE0B5" w14:textId="77777777" w:rsidR="000B4D04" w:rsidRDefault="00B90386">
      <w:pPr>
        <w:keepNext/>
        <w:widowControl w:val="0"/>
        <w:rPr>
          <w:b/>
          <w:sz w:val="24"/>
          <w:szCs w:val="24"/>
        </w:rPr>
      </w:pPr>
      <w:r>
        <w:rPr>
          <w:b/>
          <w:sz w:val="24"/>
          <w:szCs w:val="24"/>
        </w:rPr>
        <w:t>Actions planned to reduce the number of poverty-level families</w:t>
      </w:r>
    </w:p>
    <w:p w14:paraId="2C225DDE" w14:textId="77777777" w:rsidR="000B4D04" w:rsidRDefault="00B90386">
      <w:pPr>
        <w:keepNext/>
        <w:widowControl w:val="0"/>
        <w:spacing w:beforeAutospacing="1" w:afterAutospacing="1"/>
        <w:rPr>
          <w:rFonts w:cs="Arial"/>
          <w:szCs w:val="26"/>
        </w:rPr>
      </w:pPr>
      <w:r>
        <w:rPr>
          <w:rFonts w:cs="Arial"/>
        </w:rPr>
        <w:t>The City is committed to preventing cyclical, intergenerational poverty in families. The face of poverty is predominantly single mothers, many of whom are in various states of crisis, according to Community Action.  Haverhill has more than double the state average of female-led no spouse family households (31% vs. 13%). Through CDBG and other resources, the City allocates resources and programming for this vulnerable subpopulation in order to have a profound impact on reducing families in poverty.  Many CDB</w:t>
      </w:r>
      <w:r>
        <w:rPr>
          <w:rFonts w:cs="Arial"/>
        </w:rPr>
        <w:t>G Public Services in PY25 are geared towards this particular cohort.</w:t>
      </w:r>
    </w:p>
    <w:p w14:paraId="3D77C685" w14:textId="77777777" w:rsidR="000B4D04" w:rsidRDefault="00B90386">
      <w:pPr>
        <w:keepNext/>
        <w:widowControl w:val="0"/>
        <w:spacing w:beforeAutospacing="1" w:afterAutospacing="1"/>
        <w:rPr>
          <w:rFonts w:cs="Arial"/>
          <w:szCs w:val="26"/>
        </w:rPr>
      </w:pPr>
      <w:r>
        <w:rPr>
          <w:rFonts w:cs="Arial"/>
        </w:rPr>
        <w:t>Other actions planned to reduce the number of poverty-level families include:</w:t>
      </w:r>
    </w:p>
    <w:p w14:paraId="3707B0FC" w14:textId="77777777" w:rsidR="000B4D04" w:rsidRDefault="00B90386">
      <w:pPr>
        <w:keepNext/>
        <w:widowControl w:val="0"/>
        <w:spacing w:beforeAutospacing="1" w:afterAutospacing="1"/>
        <w:rPr>
          <w:rFonts w:cs="Arial"/>
          <w:szCs w:val="26"/>
        </w:rPr>
      </w:pPr>
      <w:r>
        <w:rPr>
          <w:rFonts w:cs="Arial"/>
        </w:rPr>
        <w:t>-working with adult basic education providers to expand access and availability to ensure that households are literate and can speak fluent English, in order to earn higher wages in this economy. This includes non-traditional ESOL providers such as employers.  This is directly funded in PY25 through CDBG for non-educational based non-profits such as Make It Haverhill/Community Action as well as Common Ground and others.  Increasing literacy, including financial literacy and digital equity for parents and ad</w:t>
      </w:r>
      <w:r>
        <w:rPr>
          <w:rFonts w:cs="Arial"/>
        </w:rPr>
        <w:t>ults (a key facet of Haverhill Promise), helps break intergenerational poverty.  Supporting the efforts of Haverhill Promise (a campaign for grade level reading) also supports long-term family financial stability in the Information Economy;</w:t>
      </w:r>
    </w:p>
    <w:p w14:paraId="3D1D9721" w14:textId="77777777" w:rsidR="000B4D04" w:rsidRDefault="00B90386">
      <w:pPr>
        <w:keepNext/>
        <w:widowControl w:val="0"/>
        <w:spacing w:beforeAutospacing="1" w:afterAutospacing="1"/>
        <w:rPr>
          <w:rFonts w:cs="Arial"/>
          <w:szCs w:val="26"/>
        </w:rPr>
      </w:pPr>
      <w:r>
        <w:rPr>
          <w:rFonts w:cs="Arial"/>
        </w:rPr>
        <w:t>-coordinating transportation options around employment opportunities to more easily connect people with work.  This is particularly true for a growing cohort of second-shift workers in manufacturing, healthcare, retail, food services, and other fields. Merrimack Valley Transit (MEVA) is offering fare-free bus service throughout the community, although the long-term funding of this ARP-funded idea is dubious;</w:t>
      </w:r>
    </w:p>
    <w:p w14:paraId="333B8FD3" w14:textId="41251FC1" w:rsidR="000B4D04" w:rsidRDefault="00B90386">
      <w:pPr>
        <w:keepNext/>
        <w:widowControl w:val="0"/>
        <w:spacing w:beforeAutospacing="1" w:afterAutospacing="1"/>
        <w:rPr>
          <w:rFonts w:cs="Arial"/>
          <w:szCs w:val="26"/>
        </w:rPr>
      </w:pPr>
      <w:r>
        <w:rPr>
          <w:rFonts w:cs="Arial"/>
        </w:rPr>
        <w:t xml:space="preserve">-providing adequate, flexible childcare that allows families to work and achieve more income than they could with public assistance benefits.  In PY25, the City through CDBG continues to offer </w:t>
      </w:r>
      <w:r w:rsidR="007F2FB7">
        <w:rPr>
          <w:rFonts w:cs="Arial"/>
        </w:rPr>
        <w:t>childcare</w:t>
      </w:r>
      <w:r>
        <w:rPr>
          <w:rFonts w:cs="Arial"/>
        </w:rPr>
        <w:t xml:space="preserve"> subsidies in exchange for reentering employment, which is allowing more parents to escape poverty in an era of rising wages;</w:t>
      </w:r>
    </w:p>
    <w:p w14:paraId="0F096C65" w14:textId="59F7FD95" w:rsidR="000B4D04" w:rsidRDefault="00B90386">
      <w:pPr>
        <w:keepNext/>
        <w:widowControl w:val="0"/>
        <w:spacing w:beforeAutospacing="1" w:afterAutospacing="1"/>
        <w:rPr>
          <w:rFonts w:cs="Arial"/>
          <w:szCs w:val="26"/>
        </w:rPr>
      </w:pPr>
      <w:r>
        <w:rPr>
          <w:rFonts w:cs="Arial"/>
        </w:rPr>
        <w:t xml:space="preserve">-increasing household awareness of various social services, including more outreach through social media and where people are at, as well as translating materials/forms into Spanish. Widespread distribution of a </w:t>
      </w:r>
      <w:r w:rsidR="007F2FB7">
        <w:rPr>
          <w:rFonts w:cs="Arial"/>
        </w:rPr>
        <w:t>constantly updated</w:t>
      </w:r>
      <w:r>
        <w:rPr>
          <w:rFonts w:cs="Arial"/>
        </w:rPr>
        <w:t xml:space="preserve"> Haverhill Resource Guide is an important tool.  The Emmaus-led </w:t>
      </w:r>
      <w:r w:rsidR="007F2FB7">
        <w:rPr>
          <w:rFonts w:cs="Arial"/>
        </w:rPr>
        <w:t>Interfaith</w:t>
      </w:r>
      <w:r>
        <w:rPr>
          <w:rFonts w:cs="Arial"/>
        </w:rPr>
        <w:t xml:space="preserve"> Network of Compassion (INC) takes on the </w:t>
      </w:r>
      <w:r w:rsidR="007F2FB7">
        <w:rPr>
          <w:rFonts w:cs="Arial"/>
        </w:rPr>
        <w:t>challenge</w:t>
      </w:r>
      <w:r>
        <w:rPr>
          <w:rFonts w:cs="Arial"/>
        </w:rPr>
        <w:t xml:space="preserve"> of frequently updat</w:t>
      </w:r>
      <w:r>
        <w:rPr>
          <w:rFonts w:cs="Arial"/>
        </w:rPr>
        <w:t>ing this Guide and providing information sharing on various social service providers;</w:t>
      </w:r>
    </w:p>
    <w:p w14:paraId="779010E4" w14:textId="77777777" w:rsidR="000B4D04" w:rsidRDefault="00B90386">
      <w:pPr>
        <w:keepNext/>
        <w:widowControl w:val="0"/>
        <w:spacing w:beforeAutospacing="1" w:afterAutospacing="1"/>
        <w:rPr>
          <w:rFonts w:cs="Arial"/>
          <w:szCs w:val="26"/>
        </w:rPr>
      </w:pPr>
      <w:r>
        <w:rPr>
          <w:rFonts w:cs="Arial"/>
        </w:rPr>
        <w:t xml:space="preserve">-promoting permanent housing options and homeownership wherever possible.  Key to this is helping </w:t>
      </w:r>
      <w:r>
        <w:rPr>
          <w:rFonts w:cs="Arial"/>
        </w:rPr>
        <w:lastRenderedPageBreak/>
        <w:t>residents build up their credit ratings, through programs such as 'Budget Buddies' at CAI.  Similarly, support for financial literacy efforts and the establishment of savings accounts help increase creditworthiness. The Haverhill Housing Authority has such a Sufficiency program;</w:t>
      </w:r>
    </w:p>
    <w:p w14:paraId="6CE4EF7D" w14:textId="47630961" w:rsidR="000B4D04" w:rsidRDefault="00B90386">
      <w:pPr>
        <w:keepNext/>
        <w:widowControl w:val="0"/>
        <w:spacing w:beforeAutospacing="1" w:afterAutospacing="1"/>
        <w:rPr>
          <w:rFonts w:cs="Arial"/>
          <w:szCs w:val="26"/>
        </w:rPr>
      </w:pPr>
      <w:r>
        <w:rPr>
          <w:rFonts w:cs="Arial"/>
        </w:rPr>
        <w:t xml:space="preserve">-enhancing access to job training and Individual Training Accounts (ITAs) in relevant, critical and emerging fields and available jobs with career ladders of growth and opportunity, through diverse training offerings, such as blue-collar training opportunities </w:t>
      </w:r>
      <w:r w:rsidR="00165675">
        <w:rPr>
          <w:rFonts w:cs="Arial"/>
        </w:rPr>
        <w:t>offered</w:t>
      </w:r>
      <w:r>
        <w:rPr>
          <w:rFonts w:cs="Arial"/>
        </w:rPr>
        <w:t xml:space="preserve"> through the State's Career Technical Institute (CTI) programs at Whittier Vocational Tech School.  The City is an active member of the MassHire Merrimack Valley Workforce Board to support such training and career ladders.  Recruiting people into these quality training programs </w:t>
      </w:r>
      <w:r w:rsidR="00165675">
        <w:rPr>
          <w:rFonts w:cs="Arial"/>
        </w:rPr>
        <w:t>has</w:t>
      </w:r>
      <w:r>
        <w:rPr>
          <w:rFonts w:cs="Arial"/>
        </w:rPr>
        <w:t xml:space="preserve"> proven challenging.</w:t>
      </w:r>
    </w:p>
    <w:p w14:paraId="25C48792" w14:textId="77777777" w:rsidR="000B4D04" w:rsidRDefault="00B90386">
      <w:pPr>
        <w:keepNext/>
        <w:widowControl w:val="0"/>
        <w:spacing w:beforeAutospacing="1" w:afterAutospacing="1"/>
        <w:rPr>
          <w:rFonts w:cs="Arial"/>
          <w:szCs w:val="26"/>
        </w:rPr>
      </w:pPr>
      <w:r>
        <w:rPr>
          <w:rFonts w:cs="Arial"/>
        </w:rPr>
        <w:t>-expanding upon digital equity and literacy efforts that the City has led through a grant from the Massachusetts Broadband Institute, including classes, distribution of devices, and elimination of hot spots in neighborhoods.</w:t>
      </w:r>
    </w:p>
    <w:p w14:paraId="7F91BAEF" w14:textId="77777777" w:rsidR="000B4D04" w:rsidRDefault="00B90386">
      <w:pPr>
        <w:keepNext/>
        <w:widowControl w:val="0"/>
        <w:rPr>
          <w:b/>
          <w:sz w:val="24"/>
          <w:szCs w:val="24"/>
        </w:rPr>
      </w:pPr>
      <w:r>
        <w:rPr>
          <w:b/>
          <w:sz w:val="24"/>
          <w:szCs w:val="24"/>
        </w:rPr>
        <w:t xml:space="preserve">Actions planned to develop institutional structure </w:t>
      </w:r>
    </w:p>
    <w:p w14:paraId="14BD6D4B" w14:textId="64ABE97D" w:rsidR="000B4D04" w:rsidRDefault="00B90386">
      <w:pPr>
        <w:keepNext/>
        <w:widowControl w:val="0"/>
        <w:spacing w:beforeAutospacing="1" w:afterAutospacing="1"/>
        <w:rPr>
          <w:rFonts w:cs="Arial"/>
        </w:rPr>
      </w:pPr>
      <w:r>
        <w:rPr>
          <w:rFonts w:cs="Arial"/>
        </w:rPr>
        <w:t>The City's planning capacity is enhanced through partnerships with the Merrimack Valley Planning Commission (MVPC).   Several major plans and strategies with MVPC were recently updated, such as the Comprehensive Economic Development Strategy (CEDS) to EDA, the Hazard Mitigation Strategy to FEMA, and the Housing Production Plan to the Commonwealth's Housing and Livable Communities office (HLC). Major transportation planning is undertaken by the MVPC's Metropolitan Planning Organization (MPO).  Planning capac</w:t>
      </w:r>
      <w:r>
        <w:rPr>
          <w:rFonts w:cs="Arial"/>
        </w:rPr>
        <w:t>ity is also bolstered by Northern Essex Community College (NECC), the MassHire Merrimack Valley Workforce Board, MA Municipal Association (MMA), Massachusetts Housing Partnership (MHP), Creative Haverhill, Haverhill Early Learning Team, MakeIT Haverhill, and other partners.  These entities are evaluating ways in which to develop a 21st-century economy and more streamlined service delivery, and enhanced quality of life.  The goal is attracting, growing and nurturing critical and emerging industries and cultu</w:t>
      </w:r>
      <w:r>
        <w:rPr>
          <w:rFonts w:cs="Arial"/>
        </w:rPr>
        <w:t xml:space="preserve">ral sectors often flourishing in Greater Boston but not necessarily here. The City and CDD also retain services of </w:t>
      </w:r>
      <w:r w:rsidR="00165675">
        <w:rPr>
          <w:rFonts w:cs="Arial"/>
        </w:rPr>
        <w:t>local</w:t>
      </w:r>
      <w:r>
        <w:rPr>
          <w:rFonts w:cs="Arial"/>
        </w:rPr>
        <w:t xml:space="preserve"> engineering and historic consultants and landscape architect(s) as needed.</w:t>
      </w:r>
    </w:p>
    <w:p w14:paraId="4216A37F" w14:textId="77777777" w:rsidR="000B4D04" w:rsidRDefault="00B90386">
      <w:pPr>
        <w:keepNext/>
        <w:widowControl w:val="0"/>
        <w:spacing w:beforeAutospacing="1" w:afterAutospacing="1"/>
        <w:rPr>
          <w:rFonts w:cs="Arial"/>
        </w:rPr>
      </w:pPr>
      <w:r>
        <w:rPr>
          <w:rFonts w:cs="Arial"/>
        </w:rPr>
        <w:t>Outside of City Hall, new neighborhood groups and associations, church groups and non-profits are organizing to enhance quality of life in various aspects.  In PY25, the City aims to assist these newer entities, such as newer subrecipients in their growth and development.  More Community Housing Development Organizations (CHDOs) are needed in the region, and the City seeks to cultivate more of these entities, including Haverhill 411 Cares, Urban Bridges and other non-profit start-ups that bubble up in the c</w:t>
      </w:r>
      <w:r>
        <w:rPr>
          <w:rFonts w:cs="Arial"/>
        </w:rPr>
        <w:t>ommunity.</w:t>
      </w:r>
    </w:p>
    <w:p w14:paraId="798B2363" w14:textId="2D9CA86C" w:rsidR="000B4D04" w:rsidRDefault="00B90386">
      <w:pPr>
        <w:keepNext/>
        <w:widowControl w:val="0"/>
        <w:spacing w:beforeAutospacing="1" w:afterAutospacing="1"/>
        <w:rPr>
          <w:rFonts w:cs="Arial"/>
        </w:rPr>
      </w:pPr>
      <w:r>
        <w:rPr>
          <w:rFonts w:cs="Arial"/>
        </w:rPr>
        <w:t xml:space="preserve">Another action to develop institutional structure is to connect more sub-recipients and non-profits with technical assistance provided through Lawrence-based Community Inroads. They have expertise in providing Board training, diversification and outreach training, visioning, and financial compliance assistance among other tools.  They have been providing services to newer Haverhill non-profits.  At </w:t>
      </w:r>
      <w:r>
        <w:rPr>
          <w:rFonts w:cs="Arial"/>
        </w:rPr>
        <w:lastRenderedPageBreak/>
        <w:t>CAAB hearing</w:t>
      </w:r>
      <w:r>
        <w:rPr>
          <w:rFonts w:cs="Arial"/>
        </w:rPr>
        <w:t>s</w:t>
      </w:r>
      <w:r w:rsidR="007F2FB7">
        <w:rPr>
          <w:rFonts w:cs="Arial"/>
        </w:rPr>
        <w:t xml:space="preserve"> </w:t>
      </w:r>
      <w:r>
        <w:rPr>
          <w:rFonts w:cs="Arial"/>
        </w:rPr>
        <w:t>a</w:t>
      </w:r>
      <w:r w:rsidR="007F2FB7">
        <w:rPr>
          <w:rFonts w:cs="Arial"/>
        </w:rPr>
        <w:t>n</w:t>
      </w:r>
      <w:r>
        <w:rPr>
          <w:rFonts w:cs="Arial"/>
        </w:rPr>
        <w:t>d</w:t>
      </w:r>
      <w:r>
        <w:rPr>
          <w:rFonts w:cs="Arial"/>
        </w:rPr>
        <w:t xml:space="preserve"> City meetings with non-profits, Community Inroads are either mentioned or in attendance.</w:t>
      </w:r>
    </w:p>
    <w:p w14:paraId="69D98E83" w14:textId="77777777" w:rsidR="000B4D04" w:rsidRDefault="00B90386">
      <w:pPr>
        <w:keepNext/>
        <w:widowControl w:val="0"/>
        <w:spacing w:beforeAutospacing="1" w:afterAutospacing="1"/>
        <w:rPr>
          <w:rFonts w:cs="Arial"/>
        </w:rPr>
      </w:pPr>
      <w:r>
        <w:rPr>
          <w:rFonts w:cs="Arial"/>
        </w:rPr>
        <w:t>CDD staff themselves take advantage of training opportunities provided by and through HUD on a host of topics, often through HUD.  Membership in the National Community Development Association (NCDA), funded through CDBG Administration, provides great benefits for the City as well in terms of CDBG and similar programs/topics.</w:t>
      </w:r>
    </w:p>
    <w:p w14:paraId="5A3D3A0A" w14:textId="77777777" w:rsidR="000B4D04" w:rsidRDefault="00B90386">
      <w:pPr>
        <w:keepNext/>
        <w:widowControl w:val="0"/>
        <w:rPr>
          <w:b/>
          <w:sz w:val="24"/>
          <w:szCs w:val="24"/>
        </w:rPr>
      </w:pPr>
      <w:r>
        <w:rPr>
          <w:b/>
          <w:sz w:val="24"/>
          <w:szCs w:val="24"/>
        </w:rPr>
        <w:t>Actions planned to enhance coordination between public and private housing and social service agencies</w:t>
      </w:r>
    </w:p>
    <w:p w14:paraId="79E87489" w14:textId="77777777" w:rsidR="000B4D04" w:rsidRDefault="00B90386">
      <w:pPr>
        <w:keepNext/>
        <w:widowControl w:val="0"/>
        <w:spacing w:beforeAutospacing="1" w:afterAutospacing="1"/>
        <w:rPr>
          <w:rFonts w:cs="Arial"/>
          <w:szCs w:val="26"/>
        </w:rPr>
      </w:pPr>
      <w:r>
        <w:rPr>
          <w:rFonts w:cs="Arial"/>
        </w:rPr>
        <w:t>The City is committed to continue developing coalitions and relationships between the Haverhill Housing Authority (HHA), housing developers/managers, and the City's strong network of social service agencies. The City's CDBG-funded annual Request for Proposals incentivizes such interagency partnerships. These connections and coordination can make a major difference in the lives of low-income residents in both public and private housing. A key is to connect those in public or private housing with the array of</w:t>
      </w:r>
      <w:r>
        <w:rPr>
          <w:rFonts w:cs="Arial"/>
        </w:rPr>
        <w:t xml:space="preserve"> social services that the City offers, so that residents do not suffer silently in their own homes.</w:t>
      </w:r>
    </w:p>
    <w:p w14:paraId="65CBA2FA" w14:textId="77777777" w:rsidR="000B4D04" w:rsidRDefault="00B90386">
      <w:pPr>
        <w:keepNext/>
        <w:widowControl w:val="0"/>
        <w:spacing w:beforeAutospacing="1" w:afterAutospacing="1"/>
        <w:rPr>
          <w:rFonts w:cs="Arial"/>
          <w:szCs w:val="26"/>
        </w:rPr>
      </w:pPr>
      <w:r>
        <w:rPr>
          <w:rFonts w:cs="Arial"/>
        </w:rPr>
        <w:t>The HHA’s Self-Sufficiency program is one such example. Another example is the connection between HHA's elderly housing and the City’s Council on Aging programming and transportation offerings. Sarah's Place (senior day habilitation) is another outlet that provides programming for some HHA Seniors and other elders in subsidized housing; they are a CDBG-funded sub-recipient again in PY25. </w:t>
      </w:r>
    </w:p>
    <w:p w14:paraId="503850B9" w14:textId="77777777" w:rsidR="000B4D04" w:rsidRDefault="00B90386">
      <w:pPr>
        <w:keepNext/>
        <w:widowControl w:val="0"/>
        <w:spacing w:beforeAutospacing="1" w:afterAutospacing="1"/>
        <w:rPr>
          <w:rFonts w:cs="Arial"/>
          <w:szCs w:val="26"/>
        </w:rPr>
      </w:pPr>
      <w:r>
        <w:rPr>
          <w:rFonts w:cs="Arial"/>
        </w:rPr>
        <w:t>Fostering a more relevant Section 3 Program would be another useful step with the HHA. A planned activity in PY25 is to work with MakeIT Haverhill and the Latino Coalition in developing a pipeline of Section 3 qualified entities.</w:t>
      </w:r>
    </w:p>
    <w:p w14:paraId="1B7DA55F" w14:textId="77777777" w:rsidR="000B4D04" w:rsidRDefault="00B90386">
      <w:pPr>
        <w:keepNext/>
        <w:widowControl w:val="0"/>
        <w:spacing w:beforeAutospacing="1" w:afterAutospacing="1"/>
        <w:rPr>
          <w:rFonts w:cs="Arial"/>
          <w:szCs w:val="26"/>
        </w:rPr>
      </w:pPr>
      <w:r>
        <w:rPr>
          <w:rFonts w:cs="Arial"/>
        </w:rPr>
        <w:t>Throughout the development of this Plan, the need for additional support services for residents of public housing and affordable private housing developments was repeatedly emphasized.</w:t>
      </w:r>
    </w:p>
    <w:p w14:paraId="3E3DF106" w14:textId="77777777" w:rsidR="000B4D04" w:rsidRDefault="00B90386">
      <w:pPr>
        <w:keepNext/>
        <w:widowControl w:val="0"/>
        <w:spacing w:line="204" w:lineRule="auto"/>
        <w:rPr>
          <w:b/>
          <w:sz w:val="24"/>
          <w:szCs w:val="24"/>
        </w:rPr>
      </w:pPr>
      <w:r>
        <w:rPr>
          <w:b/>
          <w:sz w:val="24"/>
          <w:szCs w:val="24"/>
        </w:rPr>
        <w:t>Discussion</w:t>
      </w:r>
    </w:p>
    <w:p w14:paraId="69543FE7" w14:textId="77777777" w:rsidR="000B4D04" w:rsidRDefault="00B90386">
      <w:pPr>
        <w:keepNext/>
        <w:widowControl w:val="0"/>
        <w:spacing w:beforeAutospacing="1" w:afterAutospacing="1"/>
        <w:rPr>
          <w:rFonts w:cs="Arial"/>
        </w:rPr>
      </w:pPr>
      <w:r>
        <w:rPr>
          <w:rFonts w:cs="Arial"/>
        </w:rPr>
        <w:t>-</w:t>
      </w:r>
    </w:p>
    <w:p w14:paraId="6024811E" w14:textId="77777777" w:rsidR="000B4D04" w:rsidRDefault="000B4D04">
      <w:pPr>
        <w:keepNext/>
        <w:widowControl w:val="0"/>
        <w:spacing w:line="204" w:lineRule="auto"/>
        <w:rPr>
          <w:rFonts w:cs="Arial"/>
        </w:rPr>
      </w:pPr>
    </w:p>
    <w:p w14:paraId="737A53EE" w14:textId="77777777" w:rsidR="000B4D04" w:rsidRDefault="00B90386">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14:paraId="36F2D137" w14:textId="77777777" w:rsidR="000B4D04" w:rsidRDefault="00B90386">
      <w:pPr>
        <w:rPr>
          <w:b/>
          <w:sz w:val="28"/>
          <w:szCs w:val="28"/>
        </w:rPr>
      </w:pPr>
      <w:r>
        <w:rPr>
          <w:b/>
          <w:sz w:val="28"/>
          <w:szCs w:val="28"/>
        </w:rPr>
        <w:t>AP-90 Program Specific Requirements - 91.420, 91.220(l)(1,2,4)</w:t>
      </w:r>
    </w:p>
    <w:p w14:paraId="1C50F948" w14:textId="77777777" w:rsidR="000B4D04" w:rsidRDefault="00B90386">
      <w:pPr>
        <w:keepNext/>
        <w:widowControl w:val="0"/>
        <w:spacing w:line="204" w:lineRule="auto"/>
        <w:rPr>
          <w:b/>
          <w:sz w:val="24"/>
          <w:szCs w:val="24"/>
        </w:rPr>
      </w:pPr>
      <w:r>
        <w:rPr>
          <w:b/>
          <w:sz w:val="24"/>
          <w:szCs w:val="24"/>
        </w:rPr>
        <w:t>Introduction</w:t>
      </w:r>
    </w:p>
    <w:p w14:paraId="697811E0" w14:textId="77777777" w:rsidR="000B4D04" w:rsidRDefault="00B90386">
      <w:pPr>
        <w:keepNext/>
        <w:widowControl w:val="0"/>
        <w:spacing w:beforeAutospacing="1" w:afterAutospacing="1"/>
        <w:rPr>
          <w:b/>
          <w:sz w:val="24"/>
          <w:szCs w:val="24"/>
        </w:rPr>
      </w:pPr>
      <w:r>
        <w:rPr>
          <w:rFonts w:cs="Arial"/>
        </w:rPr>
        <w:t>In terms of strictly Program Year 2025 CDBG funds, Projects (totaled in bold text) include:</w:t>
      </w:r>
    </w:p>
    <w:p w14:paraId="3E52AC98" w14:textId="32295693" w:rsidR="000B4D04" w:rsidRDefault="00B90386">
      <w:pPr>
        <w:keepNext/>
        <w:widowControl w:val="0"/>
        <w:spacing w:beforeAutospacing="1" w:afterAutospacing="1"/>
        <w:rPr>
          <w:b/>
          <w:sz w:val="24"/>
          <w:szCs w:val="24"/>
        </w:rPr>
      </w:pPr>
      <w:r>
        <w:rPr>
          <w:rFonts w:cs="Arial"/>
        </w:rPr>
        <w:t>Public Services                                                         </w:t>
      </w:r>
      <w:r>
        <w:rPr>
          <w:rFonts w:cs="Arial"/>
          <w:b/>
        </w:rPr>
        <w:t>    </w:t>
      </w:r>
      <w:r w:rsidR="00165675">
        <w:rPr>
          <w:rFonts w:cs="Arial"/>
          <w:b/>
        </w:rPr>
        <w:tab/>
      </w:r>
      <w:r>
        <w:rPr>
          <w:rFonts w:cs="Arial"/>
          <w:b/>
        </w:rPr>
        <w:t>($137,666)--</w:t>
      </w:r>
      <w:r>
        <w:rPr>
          <w:rFonts w:cs="Arial"/>
        </w:rPr>
        <w:t xml:space="preserve"> capped at 15% of total grant award</w:t>
      </w:r>
    </w:p>
    <w:p w14:paraId="04B4247B" w14:textId="76EB0A09" w:rsidR="000B4D04" w:rsidRDefault="00B90386">
      <w:pPr>
        <w:keepNext/>
        <w:widowControl w:val="0"/>
        <w:spacing w:beforeAutospacing="1" w:afterAutospacing="1"/>
        <w:rPr>
          <w:b/>
          <w:sz w:val="24"/>
          <w:szCs w:val="24"/>
        </w:rPr>
      </w:pPr>
      <w:r>
        <w:rPr>
          <w:rFonts w:cs="Arial"/>
        </w:rPr>
        <w:t>Administration + Planning                                             </w:t>
      </w:r>
      <w:r w:rsidR="00165675">
        <w:rPr>
          <w:rFonts w:cs="Arial"/>
        </w:rPr>
        <w:tab/>
      </w:r>
      <w:r>
        <w:rPr>
          <w:rFonts w:cs="Arial"/>
          <w:b/>
        </w:rPr>
        <w:t xml:space="preserve">($183,555)-- </w:t>
      </w:r>
      <w:r>
        <w:rPr>
          <w:rFonts w:cs="Arial"/>
        </w:rPr>
        <w:t>capped at 20% of total grant award</w:t>
      </w:r>
    </w:p>
    <w:p w14:paraId="0DE82D52" w14:textId="31ECE3CC" w:rsidR="000B4D04" w:rsidRDefault="00B90386">
      <w:pPr>
        <w:keepNext/>
        <w:widowControl w:val="0"/>
        <w:spacing w:beforeAutospacing="1" w:afterAutospacing="1"/>
        <w:rPr>
          <w:b/>
          <w:sz w:val="24"/>
          <w:szCs w:val="24"/>
        </w:rPr>
      </w:pPr>
      <w:r>
        <w:rPr>
          <w:rFonts w:cs="Arial"/>
        </w:rPr>
        <w:t>First-Time Homebuyer Assistance                                  </w:t>
      </w:r>
      <w:r>
        <w:rPr>
          <w:rFonts w:cs="Arial"/>
          <w:b/>
        </w:rPr>
        <w:t>   </w:t>
      </w:r>
      <w:r w:rsidR="00165675">
        <w:rPr>
          <w:rFonts w:cs="Arial"/>
          <w:b/>
        </w:rPr>
        <w:tab/>
      </w:r>
      <w:r>
        <w:rPr>
          <w:rFonts w:cs="Arial"/>
          <w:b/>
        </w:rPr>
        <w:t>($15,000)</w:t>
      </w:r>
    </w:p>
    <w:p w14:paraId="1F1F63D4" w14:textId="67EBCB92" w:rsidR="000B4D04" w:rsidRDefault="00B90386">
      <w:pPr>
        <w:keepNext/>
        <w:widowControl w:val="0"/>
        <w:spacing w:beforeAutospacing="1" w:afterAutospacing="1"/>
        <w:rPr>
          <w:b/>
          <w:sz w:val="24"/>
          <w:szCs w:val="24"/>
        </w:rPr>
      </w:pPr>
      <w:r>
        <w:rPr>
          <w:rFonts w:cs="Arial"/>
        </w:rPr>
        <w:t>Housing Rehabilitation                                             </w:t>
      </w:r>
      <w:r>
        <w:rPr>
          <w:rFonts w:cs="Arial"/>
          <w:b/>
        </w:rPr>
        <w:t>     </w:t>
      </w:r>
      <w:r w:rsidR="00165675">
        <w:rPr>
          <w:rFonts w:cs="Arial"/>
          <w:b/>
        </w:rPr>
        <w:tab/>
      </w:r>
      <w:r>
        <w:rPr>
          <w:rFonts w:cs="Arial"/>
          <w:b/>
        </w:rPr>
        <w:t>($410,000)</w:t>
      </w:r>
      <w:r>
        <w:rPr>
          <w:rFonts w:cs="Arial"/>
        </w:rPr>
        <w:t>(+ $75,000 Program Income)</w:t>
      </w:r>
    </w:p>
    <w:p w14:paraId="124588F8" w14:textId="5BED7E4C" w:rsidR="000B4D04" w:rsidRDefault="00B90386">
      <w:pPr>
        <w:keepNext/>
        <w:widowControl w:val="0"/>
        <w:spacing w:beforeAutospacing="1" w:afterAutospacing="1"/>
        <w:rPr>
          <w:b/>
          <w:sz w:val="24"/>
          <w:szCs w:val="24"/>
        </w:rPr>
      </w:pPr>
      <w:r>
        <w:rPr>
          <w:rFonts w:cs="Arial"/>
        </w:rPr>
        <w:t>Public Improvements                                                </w:t>
      </w:r>
      <w:r>
        <w:rPr>
          <w:rFonts w:cs="Arial"/>
          <w:b/>
        </w:rPr>
        <w:t>      </w:t>
      </w:r>
      <w:r w:rsidR="00165675">
        <w:rPr>
          <w:rFonts w:cs="Arial"/>
          <w:b/>
        </w:rPr>
        <w:tab/>
      </w:r>
      <w:r>
        <w:rPr>
          <w:rFonts w:cs="Arial"/>
          <w:b/>
        </w:rPr>
        <w:t>($50,559)</w:t>
      </w:r>
      <w:r>
        <w:rPr>
          <w:rFonts w:cs="Arial"/>
        </w:rPr>
        <w:t>(+$125,000 Program Income)</w:t>
      </w:r>
    </w:p>
    <w:p w14:paraId="10A45A7A" w14:textId="411316C8" w:rsidR="000B4D04" w:rsidRDefault="00B90386">
      <w:pPr>
        <w:keepNext/>
        <w:widowControl w:val="0"/>
        <w:spacing w:beforeAutospacing="1" w:afterAutospacing="1"/>
        <w:rPr>
          <w:b/>
          <w:sz w:val="24"/>
          <w:szCs w:val="24"/>
        </w:rPr>
      </w:pPr>
      <w:r>
        <w:rPr>
          <w:rFonts w:cs="Arial"/>
        </w:rPr>
        <w:t>Miscellaneous Projects                                                    </w:t>
      </w:r>
      <w:r w:rsidR="00165675">
        <w:rPr>
          <w:rFonts w:cs="Arial"/>
        </w:rPr>
        <w:tab/>
      </w:r>
      <w:r>
        <w:rPr>
          <w:rFonts w:cs="Arial"/>
          <w:b/>
        </w:rPr>
        <w:t>($70,000)</w:t>
      </w:r>
    </w:p>
    <w:p w14:paraId="0C2FBFA2" w14:textId="053671F0" w:rsidR="000B4D04" w:rsidRDefault="00B90386">
      <w:pPr>
        <w:keepNext/>
        <w:widowControl w:val="0"/>
        <w:spacing w:beforeAutospacing="1" w:afterAutospacing="1"/>
        <w:rPr>
          <w:b/>
          <w:sz w:val="24"/>
          <w:szCs w:val="24"/>
        </w:rPr>
      </w:pPr>
      <w:r>
        <w:rPr>
          <w:rFonts w:cs="Arial"/>
        </w:rPr>
        <w:t>Demolition + Clearance                                                           </w:t>
      </w:r>
      <w:r w:rsidR="00165675">
        <w:rPr>
          <w:rFonts w:cs="Arial"/>
        </w:rPr>
        <w:tab/>
      </w:r>
      <w:r w:rsidR="00165675" w:rsidRPr="00165675">
        <w:rPr>
          <w:rFonts w:cs="Arial"/>
          <w:b/>
          <w:bCs/>
        </w:rPr>
        <w:t>(</w:t>
      </w:r>
      <w:r w:rsidRPr="00165675">
        <w:rPr>
          <w:rFonts w:cs="Arial"/>
          <w:b/>
          <w:bCs/>
        </w:rPr>
        <w:t>$ 2,000</w:t>
      </w:r>
      <w:r w:rsidR="00165675" w:rsidRPr="00165675">
        <w:rPr>
          <w:rFonts w:cs="Arial"/>
          <w:b/>
          <w:bCs/>
        </w:rPr>
        <w:t>)</w:t>
      </w:r>
    </w:p>
    <w:p w14:paraId="1ED75E01" w14:textId="52E711E6" w:rsidR="000B4D04" w:rsidRDefault="00B90386">
      <w:pPr>
        <w:keepNext/>
        <w:widowControl w:val="0"/>
        <w:spacing w:beforeAutospacing="1" w:afterAutospacing="1"/>
        <w:rPr>
          <w:b/>
          <w:sz w:val="24"/>
          <w:szCs w:val="24"/>
        </w:rPr>
      </w:pPr>
      <w:r>
        <w:rPr>
          <w:rFonts w:cs="Arial"/>
        </w:rPr>
        <w:t>Code/Public Health Enforcement                                           </w:t>
      </w:r>
      <w:r w:rsidR="00165675" w:rsidRPr="00165675">
        <w:rPr>
          <w:rFonts w:cs="Arial"/>
          <w:b/>
          <w:bCs/>
        </w:rPr>
        <w:t>(</w:t>
      </w:r>
      <w:r w:rsidRPr="00165675">
        <w:rPr>
          <w:rFonts w:cs="Arial"/>
          <w:b/>
          <w:bCs/>
        </w:rPr>
        <w:t>$68,000</w:t>
      </w:r>
      <w:r w:rsidR="00165675" w:rsidRPr="00165675">
        <w:rPr>
          <w:rFonts w:cs="Arial"/>
          <w:b/>
          <w:bCs/>
        </w:rPr>
        <w:t>)</w:t>
      </w:r>
      <w:r>
        <w:rPr>
          <w:rFonts w:cs="Arial"/>
        </w:rPr>
        <w:t> </w:t>
      </w:r>
    </w:p>
    <w:p w14:paraId="473E1006" w14:textId="05A679AD" w:rsidR="000B4D04" w:rsidRDefault="00B90386">
      <w:pPr>
        <w:keepNext/>
        <w:widowControl w:val="0"/>
        <w:spacing w:beforeAutospacing="1" w:afterAutospacing="1"/>
        <w:rPr>
          <w:b/>
          <w:sz w:val="24"/>
          <w:szCs w:val="24"/>
        </w:rPr>
      </w:pPr>
      <w:r>
        <w:rPr>
          <w:rFonts w:cs="Arial"/>
        </w:rPr>
        <w:t>Economic Development                                            </w:t>
      </w:r>
      <w:r>
        <w:rPr>
          <w:rFonts w:cs="Arial"/>
          <w:b/>
        </w:rPr>
        <w:t>      </w:t>
      </w:r>
      <w:r w:rsidR="00165675">
        <w:rPr>
          <w:rFonts w:cs="Arial"/>
          <w:b/>
        </w:rPr>
        <w:tab/>
      </w:r>
      <w:r>
        <w:rPr>
          <w:rFonts w:cs="Arial"/>
          <w:b/>
        </w:rPr>
        <w:t>($51,000)</w:t>
      </w:r>
    </w:p>
    <w:p w14:paraId="32F990D8" w14:textId="77777777" w:rsidR="000B4D04" w:rsidRDefault="00B90386">
      <w:pPr>
        <w:keepNext/>
        <w:widowControl w:val="0"/>
        <w:spacing w:beforeAutospacing="1" w:afterAutospacing="1"/>
        <w:rPr>
          <w:b/>
          <w:sz w:val="24"/>
          <w:szCs w:val="24"/>
        </w:rPr>
      </w:pPr>
      <w:r>
        <w:rPr>
          <w:rFonts w:cs="Arial"/>
        </w:rPr>
        <w:t> </w:t>
      </w:r>
    </w:p>
    <w:p w14:paraId="2B368011" w14:textId="1EA3DECD" w:rsidR="000B4D04" w:rsidRDefault="00B90386">
      <w:pPr>
        <w:keepNext/>
        <w:widowControl w:val="0"/>
        <w:spacing w:beforeAutospacing="1" w:afterAutospacing="1"/>
        <w:rPr>
          <w:b/>
          <w:sz w:val="24"/>
          <w:szCs w:val="24"/>
        </w:rPr>
      </w:pPr>
      <w:r>
        <w:rPr>
          <w:rFonts w:cs="Arial"/>
        </w:rPr>
        <w:t xml:space="preserve">NOTE: $200,000 in Program Income is anticipated in Program Year 2025, all of which is dedicated to </w:t>
      </w:r>
      <w:r w:rsidR="00165675">
        <w:rPr>
          <w:rFonts w:cs="Arial"/>
        </w:rPr>
        <w:t>being</w:t>
      </w:r>
      <w:r>
        <w:rPr>
          <w:rFonts w:cs="Arial"/>
        </w:rPr>
        <w:t xml:space="preserve"> reprogrammed into either Public Improvements or Housing Rehabilitation, from which nearly all of it originated or emanated.  There is no old Program Income that has not yet been reprogrammed. </w:t>
      </w:r>
    </w:p>
    <w:p w14:paraId="64DBDE98" w14:textId="77777777" w:rsidR="000B4D04" w:rsidRDefault="00B90386">
      <w:pPr>
        <w:keepNext/>
        <w:widowControl w:val="0"/>
        <w:spacing w:beforeAutospacing="1" w:afterAutospacing="1"/>
        <w:rPr>
          <w:b/>
          <w:sz w:val="24"/>
          <w:szCs w:val="24"/>
        </w:rPr>
      </w:pPr>
      <w:r>
        <w:rPr>
          <w:rFonts w:cs="Arial"/>
        </w:rPr>
        <w:t>NOTE: This does not include any allocation of prior year unused funds.</w:t>
      </w:r>
    </w:p>
    <w:p w14:paraId="61F765ED" w14:textId="77777777" w:rsidR="000B4D04" w:rsidRDefault="00B90386">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14:paraId="6B0E26D6" w14:textId="77777777" w:rsidR="000B4D04" w:rsidRDefault="00B90386">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14:paraId="18F4D59B" w14:textId="77777777" w:rsidR="000B4D04" w:rsidRDefault="00B90386">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14:paraId="03B36A83" w14:textId="77777777" w:rsidR="000B4D04" w:rsidRDefault="000B4D04">
      <w:pPr>
        <w:widowControl w:val="0"/>
        <w:spacing w:after="0" w:line="240" w:lineRule="auto"/>
        <w:rPr>
          <w:rFonts w:cs="Arial"/>
        </w:rPr>
      </w:pPr>
    </w:p>
    <w:tbl>
      <w:tblPr>
        <w:tblW w:w="5000" w:type="pct"/>
        <w:tblInd w:w="115" w:type="dxa"/>
        <w:tblLook w:val="01E0" w:firstRow="1" w:lastRow="1" w:firstColumn="1" w:lastColumn="1" w:noHBand="0" w:noVBand="0"/>
      </w:tblPr>
      <w:tblGrid>
        <w:gridCol w:w="9032"/>
        <w:gridCol w:w="328"/>
      </w:tblGrid>
      <w:tr w:rsidR="000B4D04" w14:paraId="3583D93D" w14:textId="77777777">
        <w:tc>
          <w:tcPr>
            <w:tcW w:w="9576" w:type="dxa"/>
            <w:gridSpan w:val="2"/>
          </w:tcPr>
          <w:p w14:paraId="1509D6D8" w14:textId="77777777" w:rsidR="000B4D04" w:rsidRDefault="000B4D04">
            <w:pPr>
              <w:keepNext/>
              <w:widowControl w:val="0"/>
              <w:spacing w:after="0" w:line="240" w:lineRule="auto"/>
              <w:rPr>
                <w:rFonts w:cs="Arial"/>
              </w:rPr>
            </w:pPr>
          </w:p>
        </w:tc>
      </w:tr>
      <w:tr w:rsidR="000B4D04" w14:paraId="31A23479" w14:textId="77777777">
        <w:trPr>
          <w:cantSplit/>
        </w:trPr>
        <w:tc>
          <w:tcPr>
            <w:tcW w:w="0" w:type="auto"/>
            <w:vAlign w:val="center"/>
          </w:tcPr>
          <w:p w14:paraId="1E31B88D" w14:textId="77777777" w:rsidR="000B4D04" w:rsidRDefault="00B90386">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14:paraId="7481C652" w14:textId="77777777" w:rsidR="000B4D04" w:rsidRDefault="00B90386">
            <w:pPr>
              <w:spacing w:beforeAutospacing="1" w:afterAutospacing="1"/>
              <w:jc w:val="right"/>
            </w:pPr>
            <w:r>
              <w:rPr>
                <w:color w:val="000000"/>
              </w:rPr>
              <w:t>0</w:t>
            </w:r>
          </w:p>
        </w:tc>
      </w:tr>
      <w:tr w:rsidR="000B4D04" w14:paraId="7D6E0A07" w14:textId="77777777">
        <w:trPr>
          <w:cantSplit/>
        </w:trPr>
        <w:tc>
          <w:tcPr>
            <w:tcW w:w="0" w:type="auto"/>
            <w:vAlign w:val="center"/>
          </w:tcPr>
          <w:p w14:paraId="36C3C306" w14:textId="77777777" w:rsidR="000B4D04" w:rsidRDefault="00B90386">
            <w:pPr>
              <w:spacing w:beforeAutospacing="1" w:afterAutospacing="1"/>
            </w:pPr>
            <w:r>
              <w:rPr>
                <w:color w:val="000000"/>
              </w:rPr>
              <w:lastRenderedPageBreak/>
              <w:t>2. The amount of proceeds from section 108 loan guarantees that will be used during the year to address the priority needs and specific objectives identified in the grantee's strategic plan.</w:t>
            </w:r>
          </w:p>
        </w:tc>
        <w:tc>
          <w:tcPr>
            <w:tcW w:w="0" w:type="auto"/>
            <w:vAlign w:val="bottom"/>
          </w:tcPr>
          <w:p w14:paraId="0F1D9872" w14:textId="77777777" w:rsidR="000B4D04" w:rsidRDefault="00B90386">
            <w:pPr>
              <w:spacing w:beforeAutospacing="1" w:afterAutospacing="1"/>
              <w:jc w:val="right"/>
            </w:pPr>
            <w:r>
              <w:rPr>
                <w:color w:val="000000"/>
              </w:rPr>
              <w:t>0</w:t>
            </w:r>
          </w:p>
        </w:tc>
      </w:tr>
      <w:tr w:rsidR="000B4D04" w14:paraId="384F98CB" w14:textId="77777777">
        <w:trPr>
          <w:cantSplit/>
        </w:trPr>
        <w:tc>
          <w:tcPr>
            <w:tcW w:w="0" w:type="auto"/>
            <w:vAlign w:val="center"/>
          </w:tcPr>
          <w:p w14:paraId="0183ACBA" w14:textId="77777777" w:rsidR="000B4D04" w:rsidRDefault="00B90386">
            <w:pPr>
              <w:spacing w:beforeAutospacing="1" w:afterAutospacing="1"/>
            </w:pPr>
            <w:r>
              <w:rPr>
                <w:color w:val="000000"/>
              </w:rPr>
              <w:t>3. The amount of surplus funds from urban renewal settlements</w:t>
            </w:r>
          </w:p>
        </w:tc>
        <w:tc>
          <w:tcPr>
            <w:tcW w:w="0" w:type="auto"/>
            <w:vAlign w:val="bottom"/>
          </w:tcPr>
          <w:p w14:paraId="33860A8D" w14:textId="77777777" w:rsidR="000B4D04" w:rsidRDefault="00B90386">
            <w:pPr>
              <w:spacing w:beforeAutospacing="1" w:afterAutospacing="1"/>
              <w:jc w:val="right"/>
            </w:pPr>
            <w:r>
              <w:rPr>
                <w:color w:val="000000"/>
              </w:rPr>
              <w:t>0</w:t>
            </w:r>
          </w:p>
        </w:tc>
      </w:tr>
      <w:tr w:rsidR="000B4D04" w14:paraId="39DBDF82" w14:textId="77777777">
        <w:trPr>
          <w:cantSplit/>
        </w:trPr>
        <w:tc>
          <w:tcPr>
            <w:tcW w:w="0" w:type="auto"/>
            <w:vAlign w:val="center"/>
          </w:tcPr>
          <w:p w14:paraId="60A5735B" w14:textId="77777777" w:rsidR="000B4D04" w:rsidRDefault="00B90386">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14:paraId="464756DB" w14:textId="77777777" w:rsidR="000B4D04" w:rsidRDefault="00B90386">
            <w:pPr>
              <w:spacing w:beforeAutospacing="1" w:afterAutospacing="1"/>
              <w:jc w:val="right"/>
            </w:pPr>
            <w:r>
              <w:rPr>
                <w:color w:val="000000"/>
              </w:rPr>
              <w:t>0</w:t>
            </w:r>
          </w:p>
        </w:tc>
      </w:tr>
      <w:tr w:rsidR="000B4D04" w14:paraId="39891FD4" w14:textId="77777777">
        <w:trPr>
          <w:cantSplit/>
        </w:trPr>
        <w:tc>
          <w:tcPr>
            <w:tcW w:w="0" w:type="auto"/>
            <w:vAlign w:val="center"/>
          </w:tcPr>
          <w:p w14:paraId="431A50CC" w14:textId="77777777" w:rsidR="000B4D04" w:rsidRDefault="00B90386">
            <w:pPr>
              <w:spacing w:beforeAutospacing="1" w:afterAutospacing="1"/>
            </w:pPr>
            <w:r>
              <w:rPr>
                <w:color w:val="000000"/>
              </w:rPr>
              <w:t>5. The amount of income from float-funded activities</w:t>
            </w:r>
          </w:p>
        </w:tc>
        <w:tc>
          <w:tcPr>
            <w:tcW w:w="0" w:type="auto"/>
            <w:vAlign w:val="bottom"/>
          </w:tcPr>
          <w:p w14:paraId="639A8264" w14:textId="77777777" w:rsidR="000B4D04" w:rsidRDefault="00B90386">
            <w:pPr>
              <w:spacing w:beforeAutospacing="1" w:afterAutospacing="1"/>
              <w:jc w:val="right"/>
            </w:pPr>
            <w:r>
              <w:rPr>
                <w:color w:val="000000"/>
              </w:rPr>
              <w:t>0</w:t>
            </w:r>
          </w:p>
        </w:tc>
      </w:tr>
      <w:tr w:rsidR="000B4D04" w14:paraId="133A9ED2" w14:textId="77777777">
        <w:trPr>
          <w:cantSplit/>
        </w:trPr>
        <w:tc>
          <w:tcPr>
            <w:tcW w:w="0" w:type="auto"/>
            <w:vAlign w:val="center"/>
          </w:tcPr>
          <w:p w14:paraId="5C96D843" w14:textId="77777777" w:rsidR="000B4D04" w:rsidRDefault="00B90386">
            <w:pPr>
              <w:spacing w:beforeAutospacing="1" w:afterAutospacing="1"/>
            </w:pPr>
            <w:r>
              <w:rPr>
                <w:b/>
                <w:color w:val="000000"/>
              </w:rPr>
              <w:t>Total Program Income:</w:t>
            </w:r>
          </w:p>
        </w:tc>
        <w:tc>
          <w:tcPr>
            <w:tcW w:w="0" w:type="auto"/>
            <w:vAlign w:val="center"/>
          </w:tcPr>
          <w:p w14:paraId="21F370C9" w14:textId="77777777" w:rsidR="000B4D04" w:rsidRDefault="00B90386">
            <w:pPr>
              <w:spacing w:beforeAutospacing="1" w:afterAutospacing="1"/>
              <w:jc w:val="right"/>
            </w:pPr>
            <w:r>
              <w:rPr>
                <w:b/>
                <w:color w:val="000000"/>
              </w:rPr>
              <w:t>0</w:t>
            </w:r>
          </w:p>
        </w:tc>
      </w:tr>
    </w:tbl>
    <w:p w14:paraId="4AEBA2EC" w14:textId="77777777" w:rsidR="000B4D04" w:rsidRDefault="000B4D04">
      <w:pPr>
        <w:keepNext/>
        <w:widowControl w:val="0"/>
        <w:spacing w:after="0" w:line="240" w:lineRule="auto"/>
        <w:rPr>
          <w:rFonts w:cs="Arial"/>
        </w:rPr>
      </w:pPr>
    </w:p>
    <w:p w14:paraId="4CD62042" w14:textId="77777777" w:rsidR="000B4D04" w:rsidRDefault="00B90386">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599"/>
        <w:gridCol w:w="761"/>
      </w:tblGrid>
      <w:tr w:rsidR="000B4D04" w14:paraId="1E77F2DD" w14:textId="77777777">
        <w:tc>
          <w:tcPr>
            <w:tcW w:w="9576" w:type="dxa"/>
            <w:gridSpan w:val="2"/>
          </w:tcPr>
          <w:p w14:paraId="4DA06CBA" w14:textId="77777777" w:rsidR="000B4D04" w:rsidRDefault="000B4D04">
            <w:pPr>
              <w:keepNext/>
              <w:widowControl w:val="0"/>
              <w:spacing w:after="0" w:line="240" w:lineRule="auto"/>
              <w:rPr>
                <w:rFonts w:cs="Arial"/>
              </w:rPr>
            </w:pPr>
          </w:p>
        </w:tc>
      </w:tr>
      <w:tr w:rsidR="000B4D04" w14:paraId="67A767D4" w14:textId="77777777">
        <w:trPr>
          <w:cantSplit/>
        </w:trPr>
        <w:tc>
          <w:tcPr>
            <w:tcW w:w="0" w:type="auto"/>
          </w:tcPr>
          <w:p w14:paraId="7AACD336" w14:textId="77777777" w:rsidR="000B4D04" w:rsidRDefault="00B90386">
            <w:pPr>
              <w:spacing w:beforeAutospacing="1" w:afterAutospacing="1"/>
            </w:pPr>
            <w:r>
              <w:rPr>
                <w:color w:val="000000"/>
              </w:rPr>
              <w:t>1. The amount of urgent need activities</w:t>
            </w:r>
          </w:p>
        </w:tc>
        <w:tc>
          <w:tcPr>
            <w:tcW w:w="0" w:type="auto"/>
            <w:vAlign w:val="bottom"/>
          </w:tcPr>
          <w:p w14:paraId="532FB108" w14:textId="77777777" w:rsidR="000B4D04" w:rsidRDefault="00B90386">
            <w:pPr>
              <w:spacing w:beforeAutospacing="1" w:afterAutospacing="1"/>
              <w:jc w:val="right"/>
            </w:pPr>
            <w:r>
              <w:rPr>
                <w:color w:val="000000"/>
              </w:rPr>
              <w:t>0</w:t>
            </w:r>
          </w:p>
        </w:tc>
      </w:tr>
    </w:tbl>
    <w:p w14:paraId="1C472DBF" w14:textId="77777777" w:rsidR="000B4D04" w:rsidRDefault="000B4D04">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0B4D04" w14:paraId="728E9600" w14:textId="77777777">
        <w:tc>
          <w:tcPr>
            <w:tcW w:w="7923" w:type="dxa"/>
          </w:tcPr>
          <w:p w14:paraId="71B2CA48" w14:textId="77777777" w:rsidR="000B4D04" w:rsidRDefault="000B4D04">
            <w:pPr>
              <w:keepNext/>
              <w:widowControl w:val="0"/>
              <w:spacing w:after="0" w:line="240" w:lineRule="auto"/>
              <w:rPr>
                <w:rFonts w:cs="Arial"/>
              </w:rPr>
            </w:pPr>
          </w:p>
        </w:tc>
        <w:tc>
          <w:tcPr>
            <w:tcW w:w="1665" w:type="dxa"/>
          </w:tcPr>
          <w:p w14:paraId="73071A73" w14:textId="77777777" w:rsidR="000B4D04" w:rsidRDefault="000B4D04">
            <w:pPr>
              <w:keepNext/>
              <w:widowControl w:val="0"/>
              <w:spacing w:after="0" w:line="240" w:lineRule="auto"/>
              <w:rPr>
                <w:rFonts w:cs="Arial"/>
              </w:rPr>
            </w:pPr>
          </w:p>
        </w:tc>
      </w:tr>
      <w:tr w:rsidR="000B4D04" w14:paraId="03A8C262" w14:textId="77777777">
        <w:trPr>
          <w:cantSplit/>
        </w:trPr>
        <w:tc>
          <w:tcPr>
            <w:tcW w:w="7923" w:type="dxa"/>
          </w:tcPr>
          <w:p w14:paraId="631D7150" w14:textId="246D3048" w:rsidR="000B4D04" w:rsidRDefault="00B90386">
            <w:pPr>
              <w:spacing w:beforeAutospacing="1" w:afterAutospacing="1"/>
            </w:pPr>
            <w:r>
              <w:rPr>
                <w:color w:val="000000"/>
              </w:rPr>
              <w:t xml:space="preserve">2. The estimated percentage of CDBG funds that will be used for activities that benefit persons of low and moderate </w:t>
            </w:r>
            <w:r w:rsidR="007F2FB7">
              <w:rPr>
                <w:color w:val="000000"/>
              </w:rPr>
              <w:t>income. Overall</w:t>
            </w:r>
            <w:r>
              <w:rPr>
                <w:color w:val="000000"/>
              </w:rPr>
              <w:t xml:space="preserve">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14:paraId="7B90F8E1" w14:textId="77777777" w:rsidR="000B4D04" w:rsidRDefault="00B90386">
            <w:pPr>
              <w:spacing w:beforeAutospacing="1" w:afterAutospacing="1"/>
              <w:jc w:val="right"/>
            </w:pPr>
            <w:r>
              <w:rPr>
                <w:color w:val="000000"/>
              </w:rPr>
              <w:t>83.00%</w:t>
            </w:r>
          </w:p>
        </w:tc>
      </w:tr>
    </w:tbl>
    <w:p w14:paraId="7C35D9C7" w14:textId="77777777" w:rsidR="000B4D04" w:rsidRDefault="000B4D04">
      <w:pPr>
        <w:spacing w:after="0" w:line="240" w:lineRule="auto"/>
        <w:rPr>
          <w:rFonts w:cs="Arial"/>
        </w:rPr>
      </w:pPr>
    </w:p>
    <w:p w14:paraId="38F09FA1" w14:textId="77777777" w:rsidR="000B4D04" w:rsidRDefault="000B4D04">
      <w:pPr>
        <w:spacing w:after="0" w:line="240" w:lineRule="auto"/>
        <w:rPr>
          <w:rFonts w:cs="Arial"/>
        </w:rPr>
      </w:pPr>
    </w:p>
    <w:p w14:paraId="0228B28B" w14:textId="77777777" w:rsidR="000B4D04" w:rsidRDefault="000B4D04">
      <w:pPr>
        <w:spacing w:after="0" w:line="240" w:lineRule="auto"/>
        <w:rPr>
          <w:rFonts w:cs="Arial"/>
        </w:rPr>
      </w:pPr>
    </w:p>
    <w:p w14:paraId="6E5623CF" w14:textId="77777777" w:rsidR="000B4D04" w:rsidRDefault="000B4D04">
      <w:pPr>
        <w:keepNext/>
        <w:widowControl w:val="0"/>
        <w:spacing w:after="0" w:line="240" w:lineRule="auto"/>
        <w:ind w:left="360"/>
        <w:rPr>
          <w:rFonts w:cs="Arial"/>
        </w:rPr>
      </w:pPr>
    </w:p>
    <w:p w14:paraId="79A8A792" w14:textId="77777777" w:rsidR="000B4D04" w:rsidRDefault="000B4D04">
      <w:pPr>
        <w:spacing w:after="0" w:line="240" w:lineRule="auto"/>
        <w:rPr>
          <w:rFonts w:cs="Arial"/>
        </w:rPr>
      </w:pPr>
    </w:p>
    <w:p w14:paraId="5631880B" w14:textId="77777777" w:rsidR="000B4D04" w:rsidRDefault="000B4D04">
      <w:pPr>
        <w:keepNext/>
        <w:widowControl w:val="0"/>
        <w:spacing w:after="0" w:line="240" w:lineRule="auto"/>
        <w:ind w:left="360"/>
        <w:rPr>
          <w:rFonts w:cs="Arial"/>
        </w:rPr>
      </w:pPr>
    </w:p>
    <w:p w14:paraId="453CFF83" w14:textId="77777777" w:rsidR="000B4D04" w:rsidRDefault="000B4D04">
      <w:pPr>
        <w:spacing w:after="0" w:line="240" w:lineRule="auto"/>
        <w:rPr>
          <w:rFonts w:cs="Arial"/>
        </w:rPr>
      </w:pPr>
    </w:p>
    <w:p w14:paraId="5023258C" w14:textId="77777777" w:rsidR="000B4D04" w:rsidRDefault="000B4D04">
      <w:pPr>
        <w:keepNext/>
        <w:widowControl w:val="0"/>
        <w:spacing w:after="0" w:line="240" w:lineRule="auto"/>
        <w:ind w:left="360"/>
        <w:rPr>
          <w:rFonts w:cs="Arial"/>
        </w:rPr>
      </w:pPr>
    </w:p>
    <w:p w14:paraId="6F644758" w14:textId="77777777" w:rsidR="000B4D04" w:rsidRDefault="000B4D04">
      <w:pPr>
        <w:spacing w:after="0" w:line="240" w:lineRule="auto"/>
        <w:rPr>
          <w:rFonts w:cs="Arial"/>
        </w:rPr>
      </w:pPr>
    </w:p>
    <w:p w14:paraId="7511F2DA" w14:textId="77777777" w:rsidR="000B4D04" w:rsidRDefault="000B4D04">
      <w:pPr>
        <w:keepNext/>
        <w:widowControl w:val="0"/>
        <w:spacing w:after="0" w:line="240" w:lineRule="auto"/>
        <w:ind w:left="360"/>
        <w:rPr>
          <w:rFonts w:cs="Arial"/>
        </w:rPr>
      </w:pPr>
    </w:p>
    <w:p w14:paraId="4C9E8703" w14:textId="77777777" w:rsidR="000B4D04" w:rsidRDefault="000B4D04">
      <w:pPr>
        <w:spacing w:after="0" w:line="240" w:lineRule="auto"/>
        <w:rPr>
          <w:rFonts w:cs="Arial"/>
        </w:rPr>
      </w:pPr>
    </w:p>
    <w:p w14:paraId="78AE54A1" w14:textId="77777777" w:rsidR="000B4D04" w:rsidRDefault="000B4D04">
      <w:pPr>
        <w:keepNext/>
        <w:widowControl w:val="0"/>
        <w:spacing w:after="0" w:line="240" w:lineRule="auto"/>
        <w:ind w:left="360"/>
        <w:rPr>
          <w:rFonts w:cs="Arial"/>
        </w:rPr>
      </w:pPr>
    </w:p>
    <w:p w14:paraId="52F19CD3" w14:textId="77777777" w:rsidR="000B4D04" w:rsidRDefault="000B4D04">
      <w:pPr>
        <w:spacing w:after="0" w:line="240" w:lineRule="auto"/>
        <w:ind w:left="360"/>
        <w:rPr>
          <w:rFonts w:cs="Arial"/>
        </w:rPr>
      </w:pPr>
    </w:p>
    <w:p w14:paraId="1A1A19B4" w14:textId="77777777" w:rsidR="000B4D04" w:rsidRDefault="000B4D04">
      <w:pPr>
        <w:keepNext/>
        <w:widowControl w:val="0"/>
        <w:spacing w:after="0" w:line="240" w:lineRule="auto"/>
        <w:ind w:left="360"/>
        <w:rPr>
          <w:rFonts w:cs="Arial"/>
        </w:rPr>
      </w:pPr>
    </w:p>
    <w:p w14:paraId="7658DA11" w14:textId="77777777" w:rsidR="000B4D04" w:rsidRDefault="000B4D04">
      <w:pPr>
        <w:spacing w:after="0" w:line="240" w:lineRule="auto"/>
        <w:ind w:left="360"/>
        <w:rPr>
          <w:rFonts w:cs="Arial"/>
        </w:rPr>
      </w:pPr>
    </w:p>
    <w:p w14:paraId="49B2A98C" w14:textId="77777777" w:rsidR="000B4D04" w:rsidRDefault="000B4D04">
      <w:pPr>
        <w:keepNext/>
        <w:widowControl w:val="0"/>
        <w:spacing w:after="0" w:line="240" w:lineRule="auto"/>
        <w:ind w:left="360"/>
        <w:rPr>
          <w:rFonts w:cs="Arial"/>
        </w:rPr>
      </w:pPr>
    </w:p>
    <w:p w14:paraId="661F44F0" w14:textId="77777777" w:rsidR="000B4D04" w:rsidRDefault="000B4D04">
      <w:pPr>
        <w:spacing w:after="0" w:line="240" w:lineRule="auto"/>
        <w:ind w:left="360"/>
        <w:rPr>
          <w:rFonts w:cs="Arial"/>
        </w:rPr>
      </w:pPr>
    </w:p>
    <w:p w14:paraId="58A4864D" w14:textId="77777777" w:rsidR="000B4D04" w:rsidRDefault="000B4D04">
      <w:pPr>
        <w:keepNext/>
        <w:widowControl w:val="0"/>
        <w:spacing w:after="0" w:line="240" w:lineRule="auto"/>
        <w:jc w:val="center"/>
        <w:rPr>
          <w:rFonts w:cs="Arial"/>
          <w:b/>
          <w:sz w:val="24"/>
          <w:szCs w:val="24"/>
        </w:rPr>
      </w:pPr>
    </w:p>
    <w:p w14:paraId="3AC10D04" w14:textId="77777777" w:rsidR="000B4D04" w:rsidRDefault="000B4D04">
      <w:pPr>
        <w:keepNext/>
        <w:widowControl w:val="0"/>
        <w:ind w:left="360"/>
        <w:rPr>
          <w:rFonts w:cs="Arial"/>
        </w:rPr>
      </w:pPr>
    </w:p>
    <w:p w14:paraId="1B1D3284" w14:textId="77777777" w:rsidR="000B4D04" w:rsidRDefault="000B4D04">
      <w:pPr>
        <w:widowControl w:val="0"/>
        <w:ind w:left="360"/>
        <w:rPr>
          <w:rFonts w:cs="Arial"/>
        </w:rPr>
      </w:pPr>
    </w:p>
    <w:p w14:paraId="4A27A02F" w14:textId="77777777" w:rsidR="000B4D04" w:rsidRDefault="000B4D04">
      <w:pPr>
        <w:widowControl w:val="0"/>
        <w:ind w:left="360"/>
        <w:rPr>
          <w:rFonts w:cs="Arial"/>
        </w:rPr>
      </w:pPr>
    </w:p>
    <w:p w14:paraId="6D3907AF" w14:textId="77777777" w:rsidR="000B4D04" w:rsidRDefault="000B4D04">
      <w:pPr>
        <w:widowControl w:val="0"/>
        <w:ind w:left="360"/>
        <w:rPr>
          <w:rFonts w:cs="Arial"/>
        </w:rPr>
      </w:pPr>
    </w:p>
    <w:p w14:paraId="3FE8B1E5" w14:textId="77777777" w:rsidR="000B4D04" w:rsidRDefault="000B4D04">
      <w:pPr>
        <w:widowControl w:val="0"/>
        <w:ind w:left="360"/>
        <w:rPr>
          <w:rFonts w:cs="Arial"/>
        </w:rPr>
      </w:pPr>
    </w:p>
    <w:p w14:paraId="5CFD78A1" w14:textId="77777777" w:rsidR="000B4D04" w:rsidRDefault="00B90386">
      <w:pPr>
        <w:rPr>
          <w:b/>
          <w:sz w:val="24"/>
          <w:szCs w:val="24"/>
        </w:rPr>
      </w:pPr>
      <w:r>
        <w:rPr>
          <w:b/>
          <w:sz w:val="24"/>
          <w:szCs w:val="24"/>
        </w:rPr>
        <w:lastRenderedPageBreak/>
        <w:t>Discussion</w:t>
      </w:r>
    </w:p>
    <w:p w14:paraId="03099B8C" w14:textId="0BE20F47" w:rsidR="000B4D04" w:rsidRDefault="00B90386">
      <w:pPr>
        <w:spacing w:beforeAutospacing="1" w:afterAutospacing="1"/>
        <w:rPr>
          <w:b/>
          <w:sz w:val="24"/>
          <w:szCs w:val="24"/>
        </w:rPr>
      </w:pPr>
      <w:r>
        <w:rPr>
          <w:rFonts w:cs="Arial"/>
        </w:rPr>
        <w:t>Urgent Need activities are not antic</w:t>
      </w:r>
      <w:r w:rsidR="007F2FB7">
        <w:rPr>
          <w:rFonts w:cs="Arial"/>
        </w:rPr>
        <w:t>i</w:t>
      </w:r>
      <w:r>
        <w:rPr>
          <w:rFonts w:cs="Arial"/>
        </w:rPr>
        <w:t>pated but cannot be planned for, given natural disasters, public health crises (such as occurred with the COVID-19 Pandemic) and other events of possible civil unrest.</w:t>
      </w:r>
    </w:p>
    <w:sectPr w:rsidR="000B4D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BD9A" w14:textId="77777777" w:rsidR="00B90386" w:rsidRDefault="00B90386">
      <w:r>
        <w:separator/>
      </w:r>
    </w:p>
  </w:endnote>
  <w:endnote w:type="continuationSeparator" w:id="0">
    <w:p w14:paraId="4E4BE752" w14:textId="77777777" w:rsidR="00B90386" w:rsidRDefault="00B9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0B4D04" w14:paraId="4B57E303" w14:textId="77777777">
      <w:trPr>
        <w:jc w:val="center"/>
      </w:trPr>
      <w:tc>
        <w:tcPr>
          <w:tcW w:w="828" w:type="dxa"/>
        </w:tcPr>
        <w:p w14:paraId="758FBD43" w14:textId="77777777" w:rsidR="000B4D04" w:rsidRDefault="000B4D04">
          <w:pPr>
            <w:pStyle w:val="Footer"/>
            <w:spacing w:after="0" w:line="240" w:lineRule="auto"/>
            <w:jc w:val="center"/>
          </w:pPr>
        </w:p>
      </w:tc>
      <w:tc>
        <w:tcPr>
          <w:tcW w:w="7976" w:type="dxa"/>
        </w:tcPr>
        <w:p w14:paraId="265C9B0B" w14:textId="77777777" w:rsidR="000B4D04" w:rsidRDefault="00B90386">
          <w:pPr>
            <w:pStyle w:val="Footer"/>
            <w:spacing w:after="0" w:line="240" w:lineRule="auto"/>
            <w:jc w:val="center"/>
          </w:pPr>
          <w:r>
            <w:t>Annual Action Plan</w:t>
          </w:r>
        </w:p>
        <w:p w14:paraId="49B4B775" w14:textId="77777777" w:rsidR="000B4D04" w:rsidRDefault="00B90386">
          <w:pPr>
            <w:pStyle w:val="Footer"/>
            <w:spacing w:after="0" w:line="240" w:lineRule="auto"/>
            <w:jc w:val="center"/>
            <w:rPr>
              <w:rFonts w:cs="Arial"/>
            </w:rPr>
          </w:pPr>
          <w:r>
            <w:t>2025</w:t>
          </w:r>
        </w:p>
      </w:tc>
      <w:tc>
        <w:tcPr>
          <w:tcW w:w="772" w:type="dxa"/>
        </w:tcPr>
        <w:p w14:paraId="34EEE1C4" w14:textId="77777777" w:rsidR="000B4D04" w:rsidRDefault="00B90386">
          <w:pPr>
            <w:pStyle w:val="Footer"/>
            <w:spacing w:after="0" w:line="240" w:lineRule="auto"/>
            <w:jc w:val="right"/>
          </w:pPr>
          <w:r>
            <w:fldChar w:fldCharType="begin"/>
          </w:r>
          <w:r>
            <w:instrText>page</w:instrText>
          </w:r>
          <w:r>
            <w:fldChar w:fldCharType="separate"/>
          </w:r>
          <w:r>
            <w:t>1</w:t>
          </w:r>
          <w:r>
            <w:fldChar w:fldCharType="end"/>
          </w:r>
        </w:p>
      </w:tc>
    </w:tr>
  </w:tbl>
  <w:p w14:paraId="05ACB685" w14:textId="77777777" w:rsidR="000B4D04" w:rsidRDefault="00B90386">
    <w:pPr>
      <w:pStyle w:val="Footer"/>
      <w:spacing w:before="120" w:after="0"/>
      <w:rPr>
        <w:rFonts w:asciiTheme="minorHAnsi" w:hAnsiTheme="minorHAnsi" w:cs="Arial"/>
        <w:color w:val="000000"/>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0B70" w14:textId="77777777" w:rsidR="00B90386" w:rsidRDefault="00B90386">
      <w:r>
        <w:separator/>
      </w:r>
    </w:p>
  </w:footnote>
  <w:footnote w:type="continuationSeparator" w:id="0">
    <w:p w14:paraId="00174984" w14:textId="77777777" w:rsidR="00B90386" w:rsidRDefault="00B90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824347612">
    <w:abstractNumId w:val="11"/>
  </w:num>
  <w:num w:numId="2" w16cid:durableId="583150268">
    <w:abstractNumId w:val="9"/>
  </w:num>
  <w:num w:numId="3" w16cid:durableId="966399364">
    <w:abstractNumId w:val="7"/>
  </w:num>
  <w:num w:numId="4" w16cid:durableId="1167356428">
    <w:abstractNumId w:val="6"/>
  </w:num>
  <w:num w:numId="5" w16cid:durableId="1946040609">
    <w:abstractNumId w:val="5"/>
  </w:num>
  <w:num w:numId="6" w16cid:durableId="899485052">
    <w:abstractNumId w:val="4"/>
  </w:num>
  <w:num w:numId="7" w16cid:durableId="2061396145">
    <w:abstractNumId w:val="8"/>
  </w:num>
  <w:num w:numId="8" w16cid:durableId="939946456">
    <w:abstractNumId w:val="3"/>
  </w:num>
  <w:num w:numId="9" w16cid:durableId="244460611">
    <w:abstractNumId w:val="2"/>
  </w:num>
  <w:num w:numId="10" w16cid:durableId="1595089861">
    <w:abstractNumId w:val="1"/>
  </w:num>
  <w:num w:numId="11" w16cid:durableId="1378505862">
    <w:abstractNumId w:val="0"/>
  </w:num>
  <w:num w:numId="12" w16cid:durableId="1415782172">
    <w:abstractNumId w:val="10"/>
  </w:num>
  <w:num w:numId="13" w16cid:durableId="1982805807">
    <w:abstractNumId w:val="15"/>
  </w:num>
  <w:num w:numId="14" w16cid:durableId="461731824">
    <w:abstractNumId w:val="14"/>
  </w:num>
  <w:num w:numId="15" w16cid:durableId="907883089">
    <w:abstractNumId w:val="12"/>
  </w:num>
  <w:num w:numId="16" w16cid:durableId="17506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79C"/>
    <w:rsid w:val="00001361"/>
    <w:rsid w:val="0000225B"/>
    <w:rsid w:val="000043C4"/>
    <w:rsid w:val="00004AC8"/>
    <w:rsid w:val="00004F01"/>
    <w:rsid w:val="000116B2"/>
    <w:rsid w:val="00012AEB"/>
    <w:rsid w:val="0001306F"/>
    <w:rsid w:val="000204C7"/>
    <w:rsid w:val="00023D44"/>
    <w:rsid w:val="00024464"/>
    <w:rsid w:val="000245E3"/>
    <w:rsid w:val="00026149"/>
    <w:rsid w:val="00027899"/>
    <w:rsid w:val="00027B5A"/>
    <w:rsid w:val="0003185F"/>
    <w:rsid w:val="00031FC3"/>
    <w:rsid w:val="00032C1E"/>
    <w:rsid w:val="0003300B"/>
    <w:rsid w:val="0003459B"/>
    <w:rsid w:val="00035607"/>
    <w:rsid w:val="00035628"/>
    <w:rsid w:val="000357CA"/>
    <w:rsid w:val="00035F04"/>
    <w:rsid w:val="00036CA1"/>
    <w:rsid w:val="00043DF8"/>
    <w:rsid w:val="00044565"/>
    <w:rsid w:val="0004603E"/>
    <w:rsid w:val="000475A5"/>
    <w:rsid w:val="00047E3E"/>
    <w:rsid w:val="000518AA"/>
    <w:rsid w:val="00051ED8"/>
    <w:rsid w:val="00053E62"/>
    <w:rsid w:val="00056828"/>
    <w:rsid w:val="00057E29"/>
    <w:rsid w:val="00060CD3"/>
    <w:rsid w:val="00060CE4"/>
    <w:rsid w:val="00061845"/>
    <w:rsid w:val="00061B37"/>
    <w:rsid w:val="00061C6C"/>
    <w:rsid w:val="000620FD"/>
    <w:rsid w:val="000634B1"/>
    <w:rsid w:val="000661A8"/>
    <w:rsid w:val="000670CF"/>
    <w:rsid w:val="0006773B"/>
    <w:rsid w:val="00067FB3"/>
    <w:rsid w:val="00067FD4"/>
    <w:rsid w:val="00072192"/>
    <w:rsid w:val="00072C8A"/>
    <w:rsid w:val="00072E1F"/>
    <w:rsid w:val="00073F08"/>
    <w:rsid w:val="00075389"/>
    <w:rsid w:val="00076459"/>
    <w:rsid w:val="0007671E"/>
    <w:rsid w:val="00076C5D"/>
    <w:rsid w:val="0007735F"/>
    <w:rsid w:val="000803B0"/>
    <w:rsid w:val="00080977"/>
    <w:rsid w:val="00080ECB"/>
    <w:rsid w:val="00081136"/>
    <w:rsid w:val="000825DF"/>
    <w:rsid w:val="000831B8"/>
    <w:rsid w:val="00083B49"/>
    <w:rsid w:val="0008531E"/>
    <w:rsid w:val="00085ECE"/>
    <w:rsid w:val="0008764E"/>
    <w:rsid w:val="00087BEC"/>
    <w:rsid w:val="000906C3"/>
    <w:rsid w:val="00090BC2"/>
    <w:rsid w:val="00091139"/>
    <w:rsid w:val="000912C9"/>
    <w:rsid w:val="000916BB"/>
    <w:rsid w:val="00091F70"/>
    <w:rsid w:val="0009419B"/>
    <w:rsid w:val="000942E0"/>
    <w:rsid w:val="00096632"/>
    <w:rsid w:val="00096BAB"/>
    <w:rsid w:val="00096FE3"/>
    <w:rsid w:val="000A0B94"/>
    <w:rsid w:val="000A32D4"/>
    <w:rsid w:val="000A3328"/>
    <w:rsid w:val="000A3869"/>
    <w:rsid w:val="000A3AF5"/>
    <w:rsid w:val="000A3CA8"/>
    <w:rsid w:val="000A41A8"/>
    <w:rsid w:val="000A554B"/>
    <w:rsid w:val="000A6604"/>
    <w:rsid w:val="000A7C39"/>
    <w:rsid w:val="000A7EB6"/>
    <w:rsid w:val="000B3461"/>
    <w:rsid w:val="000B45BD"/>
    <w:rsid w:val="000B4D04"/>
    <w:rsid w:val="000B5D24"/>
    <w:rsid w:val="000B7A3C"/>
    <w:rsid w:val="000B7A4F"/>
    <w:rsid w:val="000C0482"/>
    <w:rsid w:val="000C0752"/>
    <w:rsid w:val="000C0905"/>
    <w:rsid w:val="000C1C34"/>
    <w:rsid w:val="000C20FC"/>
    <w:rsid w:val="000C265E"/>
    <w:rsid w:val="000C3ACA"/>
    <w:rsid w:val="000C50CD"/>
    <w:rsid w:val="000C57EA"/>
    <w:rsid w:val="000C666E"/>
    <w:rsid w:val="000D0182"/>
    <w:rsid w:val="000D5D0C"/>
    <w:rsid w:val="000D6717"/>
    <w:rsid w:val="000D7213"/>
    <w:rsid w:val="000D734A"/>
    <w:rsid w:val="000E1DFB"/>
    <w:rsid w:val="000E1F9B"/>
    <w:rsid w:val="000E2623"/>
    <w:rsid w:val="000E5032"/>
    <w:rsid w:val="000E5FBD"/>
    <w:rsid w:val="000E6121"/>
    <w:rsid w:val="000E640E"/>
    <w:rsid w:val="000E6A98"/>
    <w:rsid w:val="000E6B9A"/>
    <w:rsid w:val="000E6CB6"/>
    <w:rsid w:val="000E7804"/>
    <w:rsid w:val="000F04AF"/>
    <w:rsid w:val="000F0532"/>
    <w:rsid w:val="000F0B7B"/>
    <w:rsid w:val="000F1FC7"/>
    <w:rsid w:val="000F79C7"/>
    <w:rsid w:val="00101E3D"/>
    <w:rsid w:val="00102442"/>
    <w:rsid w:val="00103D79"/>
    <w:rsid w:val="001062D4"/>
    <w:rsid w:val="00106EFD"/>
    <w:rsid w:val="001105E4"/>
    <w:rsid w:val="0011076C"/>
    <w:rsid w:val="00110971"/>
    <w:rsid w:val="00110B76"/>
    <w:rsid w:val="00111C8B"/>
    <w:rsid w:val="00112002"/>
    <w:rsid w:val="00112F30"/>
    <w:rsid w:val="001136B9"/>
    <w:rsid w:val="00114CA6"/>
    <w:rsid w:val="00115066"/>
    <w:rsid w:val="001162C9"/>
    <w:rsid w:val="00117CAF"/>
    <w:rsid w:val="00123B67"/>
    <w:rsid w:val="001248C2"/>
    <w:rsid w:val="00125428"/>
    <w:rsid w:val="0012585F"/>
    <w:rsid w:val="00125FCA"/>
    <w:rsid w:val="00126214"/>
    <w:rsid w:val="00131C37"/>
    <w:rsid w:val="00132B14"/>
    <w:rsid w:val="00132CEA"/>
    <w:rsid w:val="001338F6"/>
    <w:rsid w:val="0013404D"/>
    <w:rsid w:val="0013483F"/>
    <w:rsid w:val="00134B79"/>
    <w:rsid w:val="00135B76"/>
    <w:rsid w:val="00135EA7"/>
    <w:rsid w:val="0013605A"/>
    <w:rsid w:val="00141F8B"/>
    <w:rsid w:val="0014372F"/>
    <w:rsid w:val="0014489D"/>
    <w:rsid w:val="0014557A"/>
    <w:rsid w:val="001460FB"/>
    <w:rsid w:val="001475CB"/>
    <w:rsid w:val="00150B00"/>
    <w:rsid w:val="00155A76"/>
    <w:rsid w:val="00155AE0"/>
    <w:rsid w:val="00156045"/>
    <w:rsid w:val="00156205"/>
    <w:rsid w:val="00157002"/>
    <w:rsid w:val="0016089C"/>
    <w:rsid w:val="00160AC1"/>
    <w:rsid w:val="00161DF7"/>
    <w:rsid w:val="0016267E"/>
    <w:rsid w:val="0016294A"/>
    <w:rsid w:val="00162A99"/>
    <w:rsid w:val="00163BA8"/>
    <w:rsid w:val="00164969"/>
    <w:rsid w:val="00165675"/>
    <w:rsid w:val="00165B3F"/>
    <w:rsid w:val="001664F7"/>
    <w:rsid w:val="001668F1"/>
    <w:rsid w:val="001703C2"/>
    <w:rsid w:val="001728FD"/>
    <w:rsid w:val="00172D3C"/>
    <w:rsid w:val="00174EFD"/>
    <w:rsid w:val="00175A92"/>
    <w:rsid w:val="001763BE"/>
    <w:rsid w:val="00176F2C"/>
    <w:rsid w:val="0017732A"/>
    <w:rsid w:val="00177A19"/>
    <w:rsid w:val="00177DEF"/>
    <w:rsid w:val="00177E91"/>
    <w:rsid w:val="00180753"/>
    <w:rsid w:val="00184182"/>
    <w:rsid w:val="00184CFB"/>
    <w:rsid w:val="00190078"/>
    <w:rsid w:val="00193AF0"/>
    <w:rsid w:val="0019465C"/>
    <w:rsid w:val="00194CDA"/>
    <w:rsid w:val="00196757"/>
    <w:rsid w:val="00197A7A"/>
    <w:rsid w:val="001A0074"/>
    <w:rsid w:val="001A0F7B"/>
    <w:rsid w:val="001A1131"/>
    <w:rsid w:val="001A53F5"/>
    <w:rsid w:val="001A6644"/>
    <w:rsid w:val="001A6827"/>
    <w:rsid w:val="001A6828"/>
    <w:rsid w:val="001A6F81"/>
    <w:rsid w:val="001A7BCC"/>
    <w:rsid w:val="001A7F28"/>
    <w:rsid w:val="001B0567"/>
    <w:rsid w:val="001B165C"/>
    <w:rsid w:val="001B5310"/>
    <w:rsid w:val="001B5AF8"/>
    <w:rsid w:val="001B6520"/>
    <w:rsid w:val="001B6936"/>
    <w:rsid w:val="001B6990"/>
    <w:rsid w:val="001B6B2A"/>
    <w:rsid w:val="001B75E2"/>
    <w:rsid w:val="001B7DB9"/>
    <w:rsid w:val="001C0436"/>
    <w:rsid w:val="001C271B"/>
    <w:rsid w:val="001C3C19"/>
    <w:rsid w:val="001C4867"/>
    <w:rsid w:val="001C516A"/>
    <w:rsid w:val="001C61C3"/>
    <w:rsid w:val="001C7A55"/>
    <w:rsid w:val="001D0384"/>
    <w:rsid w:val="001D2011"/>
    <w:rsid w:val="001D20E3"/>
    <w:rsid w:val="001D285F"/>
    <w:rsid w:val="001D2925"/>
    <w:rsid w:val="001D3E45"/>
    <w:rsid w:val="001D5457"/>
    <w:rsid w:val="001D6ECF"/>
    <w:rsid w:val="001D78ED"/>
    <w:rsid w:val="001E0FBB"/>
    <w:rsid w:val="001E1072"/>
    <w:rsid w:val="001E3EA8"/>
    <w:rsid w:val="001E40BC"/>
    <w:rsid w:val="001E45BD"/>
    <w:rsid w:val="001E4FF9"/>
    <w:rsid w:val="001E5D7F"/>
    <w:rsid w:val="001E5F46"/>
    <w:rsid w:val="001E6702"/>
    <w:rsid w:val="001E763D"/>
    <w:rsid w:val="001E7D42"/>
    <w:rsid w:val="001F12C7"/>
    <w:rsid w:val="001F18AC"/>
    <w:rsid w:val="001F1BE7"/>
    <w:rsid w:val="001F3C7D"/>
    <w:rsid w:val="001F3D60"/>
    <w:rsid w:val="001F5909"/>
    <w:rsid w:val="001F5DE5"/>
    <w:rsid w:val="001F6123"/>
    <w:rsid w:val="001F68DE"/>
    <w:rsid w:val="00202AD9"/>
    <w:rsid w:val="00205644"/>
    <w:rsid w:val="00205C2F"/>
    <w:rsid w:val="00205CCE"/>
    <w:rsid w:val="00206F32"/>
    <w:rsid w:val="00212E96"/>
    <w:rsid w:val="002137A1"/>
    <w:rsid w:val="00214170"/>
    <w:rsid w:val="00217B66"/>
    <w:rsid w:val="0022066D"/>
    <w:rsid w:val="00221262"/>
    <w:rsid w:val="002212E0"/>
    <w:rsid w:val="00221D81"/>
    <w:rsid w:val="00223C84"/>
    <w:rsid w:val="00224741"/>
    <w:rsid w:val="00224CD2"/>
    <w:rsid w:val="00224EEE"/>
    <w:rsid w:val="00226B56"/>
    <w:rsid w:val="00226B59"/>
    <w:rsid w:val="002323D0"/>
    <w:rsid w:val="0023315D"/>
    <w:rsid w:val="00233524"/>
    <w:rsid w:val="00233956"/>
    <w:rsid w:val="00234115"/>
    <w:rsid w:val="002346CD"/>
    <w:rsid w:val="00235072"/>
    <w:rsid w:val="00235DD9"/>
    <w:rsid w:val="00236F35"/>
    <w:rsid w:val="00236F9D"/>
    <w:rsid w:val="00240AEF"/>
    <w:rsid w:val="0024397D"/>
    <w:rsid w:val="00243CAA"/>
    <w:rsid w:val="00245646"/>
    <w:rsid w:val="00246AA2"/>
    <w:rsid w:val="00247E65"/>
    <w:rsid w:val="00251092"/>
    <w:rsid w:val="00254774"/>
    <w:rsid w:val="0025577D"/>
    <w:rsid w:val="00255A4D"/>
    <w:rsid w:val="00255CB4"/>
    <w:rsid w:val="00256481"/>
    <w:rsid w:val="0025735F"/>
    <w:rsid w:val="00260978"/>
    <w:rsid w:val="00263CA8"/>
    <w:rsid w:val="00263E78"/>
    <w:rsid w:val="002643F3"/>
    <w:rsid w:val="0026448F"/>
    <w:rsid w:val="00264AA8"/>
    <w:rsid w:val="00264D83"/>
    <w:rsid w:val="002660BC"/>
    <w:rsid w:val="00267FE2"/>
    <w:rsid w:val="002707F7"/>
    <w:rsid w:val="00270B46"/>
    <w:rsid w:val="002717B0"/>
    <w:rsid w:val="002721FA"/>
    <w:rsid w:val="00272284"/>
    <w:rsid w:val="00272E1D"/>
    <w:rsid w:val="00275F5E"/>
    <w:rsid w:val="00277A52"/>
    <w:rsid w:val="00284256"/>
    <w:rsid w:val="00284E5C"/>
    <w:rsid w:val="002867C7"/>
    <w:rsid w:val="00290E09"/>
    <w:rsid w:val="002931ED"/>
    <w:rsid w:val="00293EC8"/>
    <w:rsid w:val="00294383"/>
    <w:rsid w:val="00294B1B"/>
    <w:rsid w:val="00294CA9"/>
    <w:rsid w:val="00295998"/>
    <w:rsid w:val="00296E8B"/>
    <w:rsid w:val="002A2068"/>
    <w:rsid w:val="002A206F"/>
    <w:rsid w:val="002A22BC"/>
    <w:rsid w:val="002A2980"/>
    <w:rsid w:val="002A3878"/>
    <w:rsid w:val="002A4896"/>
    <w:rsid w:val="002A49B8"/>
    <w:rsid w:val="002A4E8C"/>
    <w:rsid w:val="002A57D8"/>
    <w:rsid w:val="002A5D07"/>
    <w:rsid w:val="002A5DBC"/>
    <w:rsid w:val="002A6136"/>
    <w:rsid w:val="002A7675"/>
    <w:rsid w:val="002B3F22"/>
    <w:rsid w:val="002B5E03"/>
    <w:rsid w:val="002B601A"/>
    <w:rsid w:val="002B625F"/>
    <w:rsid w:val="002B7BD1"/>
    <w:rsid w:val="002C155C"/>
    <w:rsid w:val="002C3395"/>
    <w:rsid w:val="002C35A0"/>
    <w:rsid w:val="002C3E9C"/>
    <w:rsid w:val="002C44B2"/>
    <w:rsid w:val="002C4862"/>
    <w:rsid w:val="002C5303"/>
    <w:rsid w:val="002C547E"/>
    <w:rsid w:val="002C5F73"/>
    <w:rsid w:val="002C68A7"/>
    <w:rsid w:val="002D1B12"/>
    <w:rsid w:val="002D1EA4"/>
    <w:rsid w:val="002D1FCA"/>
    <w:rsid w:val="002D34A9"/>
    <w:rsid w:val="002D478C"/>
    <w:rsid w:val="002D7D0F"/>
    <w:rsid w:val="002E35A6"/>
    <w:rsid w:val="002E65ED"/>
    <w:rsid w:val="002E675D"/>
    <w:rsid w:val="002E7287"/>
    <w:rsid w:val="002F0A58"/>
    <w:rsid w:val="002F24C7"/>
    <w:rsid w:val="002F3075"/>
    <w:rsid w:val="002F3B35"/>
    <w:rsid w:val="002F4183"/>
    <w:rsid w:val="002F5987"/>
    <w:rsid w:val="002F5D01"/>
    <w:rsid w:val="002F7A63"/>
    <w:rsid w:val="0030038D"/>
    <w:rsid w:val="00300BAE"/>
    <w:rsid w:val="00302737"/>
    <w:rsid w:val="00304450"/>
    <w:rsid w:val="003045F6"/>
    <w:rsid w:val="003056D6"/>
    <w:rsid w:val="00306E0A"/>
    <w:rsid w:val="00314B0B"/>
    <w:rsid w:val="00316631"/>
    <w:rsid w:val="00316EE5"/>
    <w:rsid w:val="003173DC"/>
    <w:rsid w:val="003173F8"/>
    <w:rsid w:val="00321093"/>
    <w:rsid w:val="0032440F"/>
    <w:rsid w:val="0032477D"/>
    <w:rsid w:val="003262D2"/>
    <w:rsid w:val="0032731B"/>
    <w:rsid w:val="00327499"/>
    <w:rsid w:val="00327DDD"/>
    <w:rsid w:val="0033195A"/>
    <w:rsid w:val="00332A82"/>
    <w:rsid w:val="00332B85"/>
    <w:rsid w:val="00333971"/>
    <w:rsid w:val="003343A2"/>
    <w:rsid w:val="00340D9C"/>
    <w:rsid w:val="0034130D"/>
    <w:rsid w:val="0034477A"/>
    <w:rsid w:val="00344D60"/>
    <w:rsid w:val="00346ABB"/>
    <w:rsid w:val="00346C40"/>
    <w:rsid w:val="003504FE"/>
    <w:rsid w:val="00351CEF"/>
    <w:rsid w:val="003521B8"/>
    <w:rsid w:val="00352316"/>
    <w:rsid w:val="0035316E"/>
    <w:rsid w:val="00354514"/>
    <w:rsid w:val="00354D12"/>
    <w:rsid w:val="003550DA"/>
    <w:rsid w:val="003558E7"/>
    <w:rsid w:val="0035779A"/>
    <w:rsid w:val="00357C5C"/>
    <w:rsid w:val="003601E8"/>
    <w:rsid w:val="00361146"/>
    <w:rsid w:val="00361CC3"/>
    <w:rsid w:val="003622B9"/>
    <w:rsid w:val="0036281D"/>
    <w:rsid w:val="003629F5"/>
    <w:rsid w:val="00365CE8"/>
    <w:rsid w:val="0036684C"/>
    <w:rsid w:val="003700B8"/>
    <w:rsid w:val="0037146A"/>
    <w:rsid w:val="00371AE2"/>
    <w:rsid w:val="00373576"/>
    <w:rsid w:val="00375820"/>
    <w:rsid w:val="00375A6B"/>
    <w:rsid w:val="003769A0"/>
    <w:rsid w:val="00380C4B"/>
    <w:rsid w:val="003813BF"/>
    <w:rsid w:val="003814EF"/>
    <w:rsid w:val="00381E42"/>
    <w:rsid w:val="00383267"/>
    <w:rsid w:val="00383DA8"/>
    <w:rsid w:val="00384469"/>
    <w:rsid w:val="0039057C"/>
    <w:rsid w:val="00393270"/>
    <w:rsid w:val="00393D1A"/>
    <w:rsid w:val="00394DF1"/>
    <w:rsid w:val="00394F4A"/>
    <w:rsid w:val="003974F9"/>
    <w:rsid w:val="003A05C5"/>
    <w:rsid w:val="003A13CA"/>
    <w:rsid w:val="003A231A"/>
    <w:rsid w:val="003A3022"/>
    <w:rsid w:val="003A35A7"/>
    <w:rsid w:val="003A3BED"/>
    <w:rsid w:val="003A3DFE"/>
    <w:rsid w:val="003A683D"/>
    <w:rsid w:val="003A7DA4"/>
    <w:rsid w:val="003B2D3A"/>
    <w:rsid w:val="003B441D"/>
    <w:rsid w:val="003B47FF"/>
    <w:rsid w:val="003B5D48"/>
    <w:rsid w:val="003B66A4"/>
    <w:rsid w:val="003C0FDC"/>
    <w:rsid w:val="003C1628"/>
    <w:rsid w:val="003C1968"/>
    <w:rsid w:val="003D0515"/>
    <w:rsid w:val="003D20C4"/>
    <w:rsid w:val="003D25FA"/>
    <w:rsid w:val="003D2D3C"/>
    <w:rsid w:val="003D45C0"/>
    <w:rsid w:val="003D6CD4"/>
    <w:rsid w:val="003D6FCF"/>
    <w:rsid w:val="003D72A1"/>
    <w:rsid w:val="003E22CB"/>
    <w:rsid w:val="003E258F"/>
    <w:rsid w:val="003E284D"/>
    <w:rsid w:val="003E3F93"/>
    <w:rsid w:val="003E4568"/>
    <w:rsid w:val="003E4FF9"/>
    <w:rsid w:val="003E7057"/>
    <w:rsid w:val="003F38FB"/>
    <w:rsid w:val="003F5F7A"/>
    <w:rsid w:val="004000E2"/>
    <w:rsid w:val="00400274"/>
    <w:rsid w:val="00400B9A"/>
    <w:rsid w:val="00403D51"/>
    <w:rsid w:val="00411BA3"/>
    <w:rsid w:val="00411F37"/>
    <w:rsid w:val="00413518"/>
    <w:rsid w:val="00415BA6"/>
    <w:rsid w:val="00416FB6"/>
    <w:rsid w:val="00417A3C"/>
    <w:rsid w:val="004216FD"/>
    <w:rsid w:val="00423F3B"/>
    <w:rsid w:val="00425815"/>
    <w:rsid w:val="00432796"/>
    <w:rsid w:val="00432EB4"/>
    <w:rsid w:val="00434057"/>
    <w:rsid w:val="0043460A"/>
    <w:rsid w:val="0044241B"/>
    <w:rsid w:val="00443A29"/>
    <w:rsid w:val="004441CA"/>
    <w:rsid w:val="004448CA"/>
    <w:rsid w:val="00444933"/>
    <w:rsid w:val="004453CC"/>
    <w:rsid w:val="004468BC"/>
    <w:rsid w:val="00447517"/>
    <w:rsid w:val="0045009F"/>
    <w:rsid w:val="00450760"/>
    <w:rsid w:val="00451B1C"/>
    <w:rsid w:val="00453780"/>
    <w:rsid w:val="0045398A"/>
    <w:rsid w:val="00453A5D"/>
    <w:rsid w:val="00455495"/>
    <w:rsid w:val="00455F04"/>
    <w:rsid w:val="004560ED"/>
    <w:rsid w:val="004618A9"/>
    <w:rsid w:val="004628D1"/>
    <w:rsid w:val="0046519F"/>
    <w:rsid w:val="004657FC"/>
    <w:rsid w:val="0046678C"/>
    <w:rsid w:val="004702B9"/>
    <w:rsid w:val="00470BB5"/>
    <w:rsid w:val="004713D1"/>
    <w:rsid w:val="004718FE"/>
    <w:rsid w:val="00474809"/>
    <w:rsid w:val="0047498F"/>
    <w:rsid w:val="00474C83"/>
    <w:rsid w:val="00474D62"/>
    <w:rsid w:val="0047694E"/>
    <w:rsid w:val="0048057D"/>
    <w:rsid w:val="004807B9"/>
    <w:rsid w:val="004829FE"/>
    <w:rsid w:val="0048572B"/>
    <w:rsid w:val="00487807"/>
    <w:rsid w:val="00490153"/>
    <w:rsid w:val="00490E8F"/>
    <w:rsid w:val="00491B1E"/>
    <w:rsid w:val="00492522"/>
    <w:rsid w:val="00494561"/>
    <w:rsid w:val="004A1D57"/>
    <w:rsid w:val="004A2076"/>
    <w:rsid w:val="004A2462"/>
    <w:rsid w:val="004A2A46"/>
    <w:rsid w:val="004A2E01"/>
    <w:rsid w:val="004A5050"/>
    <w:rsid w:val="004A7384"/>
    <w:rsid w:val="004B2719"/>
    <w:rsid w:val="004B35BC"/>
    <w:rsid w:val="004B3E8D"/>
    <w:rsid w:val="004B50AE"/>
    <w:rsid w:val="004B5288"/>
    <w:rsid w:val="004B5691"/>
    <w:rsid w:val="004B7342"/>
    <w:rsid w:val="004B7869"/>
    <w:rsid w:val="004B7BD0"/>
    <w:rsid w:val="004C0183"/>
    <w:rsid w:val="004C0761"/>
    <w:rsid w:val="004C280F"/>
    <w:rsid w:val="004C337F"/>
    <w:rsid w:val="004C4853"/>
    <w:rsid w:val="004C554B"/>
    <w:rsid w:val="004C753E"/>
    <w:rsid w:val="004C7652"/>
    <w:rsid w:val="004C7E89"/>
    <w:rsid w:val="004D1847"/>
    <w:rsid w:val="004D25CA"/>
    <w:rsid w:val="004D2EF4"/>
    <w:rsid w:val="004D3AE0"/>
    <w:rsid w:val="004D4783"/>
    <w:rsid w:val="004D5993"/>
    <w:rsid w:val="004D77EA"/>
    <w:rsid w:val="004E06E9"/>
    <w:rsid w:val="004E2C11"/>
    <w:rsid w:val="004E3D2D"/>
    <w:rsid w:val="004E6FFF"/>
    <w:rsid w:val="004F07E5"/>
    <w:rsid w:val="004F0D4F"/>
    <w:rsid w:val="004F0F57"/>
    <w:rsid w:val="004F2470"/>
    <w:rsid w:val="004F38B8"/>
    <w:rsid w:val="004F3C75"/>
    <w:rsid w:val="004F7A38"/>
    <w:rsid w:val="00503EE0"/>
    <w:rsid w:val="00504A77"/>
    <w:rsid w:val="00504D2F"/>
    <w:rsid w:val="00504EE0"/>
    <w:rsid w:val="00505B84"/>
    <w:rsid w:val="005113F5"/>
    <w:rsid w:val="00511841"/>
    <w:rsid w:val="00512BFD"/>
    <w:rsid w:val="00512ED8"/>
    <w:rsid w:val="00512F63"/>
    <w:rsid w:val="005149D1"/>
    <w:rsid w:val="0051545A"/>
    <w:rsid w:val="00515ECB"/>
    <w:rsid w:val="0051697E"/>
    <w:rsid w:val="00520331"/>
    <w:rsid w:val="00520641"/>
    <w:rsid w:val="00521B6A"/>
    <w:rsid w:val="0052234D"/>
    <w:rsid w:val="00523217"/>
    <w:rsid w:val="00524FC6"/>
    <w:rsid w:val="005279D1"/>
    <w:rsid w:val="00530783"/>
    <w:rsid w:val="00536B89"/>
    <w:rsid w:val="00536CE1"/>
    <w:rsid w:val="00537446"/>
    <w:rsid w:val="005401AF"/>
    <w:rsid w:val="00540586"/>
    <w:rsid w:val="00541D88"/>
    <w:rsid w:val="00542805"/>
    <w:rsid w:val="00542DD1"/>
    <w:rsid w:val="00542E35"/>
    <w:rsid w:val="005438C6"/>
    <w:rsid w:val="00552158"/>
    <w:rsid w:val="005535E3"/>
    <w:rsid w:val="005546C9"/>
    <w:rsid w:val="00554930"/>
    <w:rsid w:val="00554D8C"/>
    <w:rsid w:val="005566BD"/>
    <w:rsid w:val="00556A53"/>
    <w:rsid w:val="005607C4"/>
    <w:rsid w:val="005607F7"/>
    <w:rsid w:val="00560DD5"/>
    <w:rsid w:val="005640FE"/>
    <w:rsid w:val="0056434A"/>
    <w:rsid w:val="0056695E"/>
    <w:rsid w:val="00566AD6"/>
    <w:rsid w:val="00571758"/>
    <w:rsid w:val="00571DC6"/>
    <w:rsid w:val="00571F71"/>
    <w:rsid w:val="005720BF"/>
    <w:rsid w:val="00572D8A"/>
    <w:rsid w:val="00572E71"/>
    <w:rsid w:val="00575829"/>
    <w:rsid w:val="0057595D"/>
    <w:rsid w:val="00575D21"/>
    <w:rsid w:val="00577A52"/>
    <w:rsid w:val="005803CD"/>
    <w:rsid w:val="005816FC"/>
    <w:rsid w:val="00581869"/>
    <w:rsid w:val="0058430F"/>
    <w:rsid w:val="00584916"/>
    <w:rsid w:val="00584C2C"/>
    <w:rsid w:val="00585FC7"/>
    <w:rsid w:val="00586324"/>
    <w:rsid w:val="005902D2"/>
    <w:rsid w:val="005913A4"/>
    <w:rsid w:val="0059175D"/>
    <w:rsid w:val="005943CB"/>
    <w:rsid w:val="00594D9A"/>
    <w:rsid w:val="00597F2A"/>
    <w:rsid w:val="005A031D"/>
    <w:rsid w:val="005A06D4"/>
    <w:rsid w:val="005A0870"/>
    <w:rsid w:val="005A28F5"/>
    <w:rsid w:val="005A30FD"/>
    <w:rsid w:val="005A384F"/>
    <w:rsid w:val="005A38E5"/>
    <w:rsid w:val="005A4CE7"/>
    <w:rsid w:val="005A4EE7"/>
    <w:rsid w:val="005A56A4"/>
    <w:rsid w:val="005A6341"/>
    <w:rsid w:val="005A6511"/>
    <w:rsid w:val="005A7B5B"/>
    <w:rsid w:val="005B1C08"/>
    <w:rsid w:val="005B1C1A"/>
    <w:rsid w:val="005B27DA"/>
    <w:rsid w:val="005B2D2F"/>
    <w:rsid w:val="005B3518"/>
    <w:rsid w:val="005B41CA"/>
    <w:rsid w:val="005B7D2A"/>
    <w:rsid w:val="005C0C0A"/>
    <w:rsid w:val="005C19F7"/>
    <w:rsid w:val="005C1A32"/>
    <w:rsid w:val="005C2AC9"/>
    <w:rsid w:val="005C2AD9"/>
    <w:rsid w:val="005D0D3F"/>
    <w:rsid w:val="005D112C"/>
    <w:rsid w:val="005D1834"/>
    <w:rsid w:val="005D28B7"/>
    <w:rsid w:val="005D3A3B"/>
    <w:rsid w:val="005D57FC"/>
    <w:rsid w:val="005D6D7E"/>
    <w:rsid w:val="005E19AA"/>
    <w:rsid w:val="005E3EC4"/>
    <w:rsid w:val="005E478F"/>
    <w:rsid w:val="005E5820"/>
    <w:rsid w:val="005E624A"/>
    <w:rsid w:val="005E669F"/>
    <w:rsid w:val="005E689B"/>
    <w:rsid w:val="005E68A8"/>
    <w:rsid w:val="005E6E47"/>
    <w:rsid w:val="005F174E"/>
    <w:rsid w:val="005F324E"/>
    <w:rsid w:val="005F3836"/>
    <w:rsid w:val="005F4B6C"/>
    <w:rsid w:val="005F4E97"/>
    <w:rsid w:val="005F69CC"/>
    <w:rsid w:val="005F6F31"/>
    <w:rsid w:val="005F7C9B"/>
    <w:rsid w:val="005F7D60"/>
    <w:rsid w:val="00600688"/>
    <w:rsid w:val="0060180B"/>
    <w:rsid w:val="00602976"/>
    <w:rsid w:val="00603D0C"/>
    <w:rsid w:val="00604622"/>
    <w:rsid w:val="006053DE"/>
    <w:rsid w:val="00611099"/>
    <w:rsid w:val="006113C3"/>
    <w:rsid w:val="00611B7D"/>
    <w:rsid w:val="0061238E"/>
    <w:rsid w:val="00612D8D"/>
    <w:rsid w:val="00614060"/>
    <w:rsid w:val="00614481"/>
    <w:rsid w:val="006151EC"/>
    <w:rsid w:val="00616684"/>
    <w:rsid w:val="00617974"/>
    <w:rsid w:val="00620042"/>
    <w:rsid w:val="006201FF"/>
    <w:rsid w:val="006211BC"/>
    <w:rsid w:val="0062186C"/>
    <w:rsid w:val="00621B6A"/>
    <w:rsid w:val="006222B0"/>
    <w:rsid w:val="00622F64"/>
    <w:rsid w:val="00623897"/>
    <w:rsid w:val="00626214"/>
    <w:rsid w:val="00626273"/>
    <w:rsid w:val="00626E96"/>
    <w:rsid w:val="006278C0"/>
    <w:rsid w:val="006308DE"/>
    <w:rsid w:val="00631E30"/>
    <w:rsid w:val="00632401"/>
    <w:rsid w:val="00633253"/>
    <w:rsid w:val="006343B2"/>
    <w:rsid w:val="00634978"/>
    <w:rsid w:val="00634F83"/>
    <w:rsid w:val="00637636"/>
    <w:rsid w:val="00640563"/>
    <w:rsid w:val="0064120D"/>
    <w:rsid w:val="0064190F"/>
    <w:rsid w:val="006434CD"/>
    <w:rsid w:val="006449FF"/>
    <w:rsid w:val="00644A8B"/>
    <w:rsid w:val="00645293"/>
    <w:rsid w:val="00647D86"/>
    <w:rsid w:val="00652006"/>
    <w:rsid w:val="0065246C"/>
    <w:rsid w:val="0065549B"/>
    <w:rsid w:val="00660C80"/>
    <w:rsid w:val="00664171"/>
    <w:rsid w:val="006651FC"/>
    <w:rsid w:val="00665241"/>
    <w:rsid w:val="00665277"/>
    <w:rsid w:val="00665583"/>
    <w:rsid w:val="006655A4"/>
    <w:rsid w:val="006658A8"/>
    <w:rsid w:val="006664DF"/>
    <w:rsid w:val="00670714"/>
    <w:rsid w:val="00671C60"/>
    <w:rsid w:val="00672DD1"/>
    <w:rsid w:val="00672E7A"/>
    <w:rsid w:val="00673DC6"/>
    <w:rsid w:val="00674C23"/>
    <w:rsid w:val="00677021"/>
    <w:rsid w:val="00677C85"/>
    <w:rsid w:val="00680AF7"/>
    <w:rsid w:val="00681CD4"/>
    <w:rsid w:val="006841DF"/>
    <w:rsid w:val="00685714"/>
    <w:rsid w:val="00685DE2"/>
    <w:rsid w:val="00686749"/>
    <w:rsid w:val="00686948"/>
    <w:rsid w:val="00690F4C"/>
    <w:rsid w:val="00691CC4"/>
    <w:rsid w:val="0069273F"/>
    <w:rsid w:val="006950B9"/>
    <w:rsid w:val="00695965"/>
    <w:rsid w:val="006960B5"/>
    <w:rsid w:val="006A12F9"/>
    <w:rsid w:val="006A1B7A"/>
    <w:rsid w:val="006A1B9F"/>
    <w:rsid w:val="006A306E"/>
    <w:rsid w:val="006A3251"/>
    <w:rsid w:val="006A5CF6"/>
    <w:rsid w:val="006A7B8B"/>
    <w:rsid w:val="006B04CE"/>
    <w:rsid w:val="006B3540"/>
    <w:rsid w:val="006B42E4"/>
    <w:rsid w:val="006B4796"/>
    <w:rsid w:val="006B4894"/>
    <w:rsid w:val="006B4955"/>
    <w:rsid w:val="006B4C68"/>
    <w:rsid w:val="006B5988"/>
    <w:rsid w:val="006B7EAA"/>
    <w:rsid w:val="006C1C1B"/>
    <w:rsid w:val="006C21E7"/>
    <w:rsid w:val="006C3518"/>
    <w:rsid w:val="006C3FD7"/>
    <w:rsid w:val="006C44E9"/>
    <w:rsid w:val="006C4C77"/>
    <w:rsid w:val="006D34BA"/>
    <w:rsid w:val="006D3D90"/>
    <w:rsid w:val="006D3FDB"/>
    <w:rsid w:val="006D571A"/>
    <w:rsid w:val="006D658C"/>
    <w:rsid w:val="006D6906"/>
    <w:rsid w:val="006E0C5F"/>
    <w:rsid w:val="006E1389"/>
    <w:rsid w:val="006E2047"/>
    <w:rsid w:val="006E282A"/>
    <w:rsid w:val="006E3482"/>
    <w:rsid w:val="006E4DEC"/>
    <w:rsid w:val="006E5052"/>
    <w:rsid w:val="006E513B"/>
    <w:rsid w:val="006E59B8"/>
    <w:rsid w:val="006E5F96"/>
    <w:rsid w:val="006F0A51"/>
    <w:rsid w:val="006F3358"/>
    <w:rsid w:val="006F71B9"/>
    <w:rsid w:val="006F746C"/>
    <w:rsid w:val="006F7A4C"/>
    <w:rsid w:val="006F7BFD"/>
    <w:rsid w:val="00702BAF"/>
    <w:rsid w:val="00703551"/>
    <w:rsid w:val="0070546E"/>
    <w:rsid w:val="00706058"/>
    <w:rsid w:val="00706C26"/>
    <w:rsid w:val="0071070B"/>
    <w:rsid w:val="007124E0"/>
    <w:rsid w:val="00712678"/>
    <w:rsid w:val="00713D4D"/>
    <w:rsid w:val="007144DD"/>
    <w:rsid w:val="00715B36"/>
    <w:rsid w:val="007172F1"/>
    <w:rsid w:val="00720EDD"/>
    <w:rsid w:val="00721F36"/>
    <w:rsid w:val="00722B5D"/>
    <w:rsid w:val="007250CB"/>
    <w:rsid w:val="00725EA1"/>
    <w:rsid w:val="00727740"/>
    <w:rsid w:val="00731B72"/>
    <w:rsid w:val="00733EE7"/>
    <w:rsid w:val="0073427D"/>
    <w:rsid w:val="00736F43"/>
    <w:rsid w:val="0073788C"/>
    <w:rsid w:val="00740AAD"/>
    <w:rsid w:val="00740AD4"/>
    <w:rsid w:val="007412C3"/>
    <w:rsid w:val="0074344B"/>
    <w:rsid w:val="00743693"/>
    <w:rsid w:val="00743949"/>
    <w:rsid w:val="00745E9A"/>
    <w:rsid w:val="00747FBD"/>
    <w:rsid w:val="00750EA1"/>
    <w:rsid w:val="00752484"/>
    <w:rsid w:val="0075650A"/>
    <w:rsid w:val="00756E3B"/>
    <w:rsid w:val="0075731A"/>
    <w:rsid w:val="007577DC"/>
    <w:rsid w:val="0076214F"/>
    <w:rsid w:val="007639A7"/>
    <w:rsid w:val="007649B9"/>
    <w:rsid w:val="007701F8"/>
    <w:rsid w:val="00771668"/>
    <w:rsid w:val="00772670"/>
    <w:rsid w:val="007741C1"/>
    <w:rsid w:val="00774F22"/>
    <w:rsid w:val="007758FC"/>
    <w:rsid w:val="00782307"/>
    <w:rsid w:val="00782F74"/>
    <w:rsid w:val="00784F23"/>
    <w:rsid w:val="00784F8B"/>
    <w:rsid w:val="0078501A"/>
    <w:rsid w:val="0078560A"/>
    <w:rsid w:val="00785AFD"/>
    <w:rsid w:val="00785BF8"/>
    <w:rsid w:val="0079226E"/>
    <w:rsid w:val="00793C28"/>
    <w:rsid w:val="00794935"/>
    <w:rsid w:val="00795DDC"/>
    <w:rsid w:val="00796084"/>
    <w:rsid w:val="007A2F0A"/>
    <w:rsid w:val="007A2F0F"/>
    <w:rsid w:val="007A37C2"/>
    <w:rsid w:val="007A45CE"/>
    <w:rsid w:val="007A55B0"/>
    <w:rsid w:val="007A66C3"/>
    <w:rsid w:val="007A6C54"/>
    <w:rsid w:val="007A6E48"/>
    <w:rsid w:val="007A74AE"/>
    <w:rsid w:val="007B0AC6"/>
    <w:rsid w:val="007B0DDC"/>
    <w:rsid w:val="007B11DD"/>
    <w:rsid w:val="007B2073"/>
    <w:rsid w:val="007B262D"/>
    <w:rsid w:val="007B35C5"/>
    <w:rsid w:val="007B66B1"/>
    <w:rsid w:val="007B7245"/>
    <w:rsid w:val="007B7C79"/>
    <w:rsid w:val="007C0902"/>
    <w:rsid w:val="007C178C"/>
    <w:rsid w:val="007C1DDF"/>
    <w:rsid w:val="007C2B34"/>
    <w:rsid w:val="007C709C"/>
    <w:rsid w:val="007D00A7"/>
    <w:rsid w:val="007D0F81"/>
    <w:rsid w:val="007D2AFF"/>
    <w:rsid w:val="007D3B8E"/>
    <w:rsid w:val="007D407D"/>
    <w:rsid w:val="007D4512"/>
    <w:rsid w:val="007D670D"/>
    <w:rsid w:val="007D7813"/>
    <w:rsid w:val="007E3665"/>
    <w:rsid w:val="007E674B"/>
    <w:rsid w:val="007E6BD9"/>
    <w:rsid w:val="007E7D06"/>
    <w:rsid w:val="007F1801"/>
    <w:rsid w:val="007F2E0A"/>
    <w:rsid w:val="007F2FB7"/>
    <w:rsid w:val="007F4E09"/>
    <w:rsid w:val="008013D4"/>
    <w:rsid w:val="00802F6D"/>
    <w:rsid w:val="008032DD"/>
    <w:rsid w:val="00803C58"/>
    <w:rsid w:val="0080435B"/>
    <w:rsid w:val="00804FD8"/>
    <w:rsid w:val="00806546"/>
    <w:rsid w:val="00806E81"/>
    <w:rsid w:val="00812DDE"/>
    <w:rsid w:val="00813088"/>
    <w:rsid w:val="00813FDE"/>
    <w:rsid w:val="008147E7"/>
    <w:rsid w:val="00814A8E"/>
    <w:rsid w:val="00817315"/>
    <w:rsid w:val="0082146C"/>
    <w:rsid w:val="008217FB"/>
    <w:rsid w:val="008225C9"/>
    <w:rsid w:val="00822631"/>
    <w:rsid w:val="008245D2"/>
    <w:rsid w:val="00824CBF"/>
    <w:rsid w:val="00826653"/>
    <w:rsid w:val="00827A66"/>
    <w:rsid w:val="00827DE9"/>
    <w:rsid w:val="0083093A"/>
    <w:rsid w:val="00832EAF"/>
    <w:rsid w:val="008332E9"/>
    <w:rsid w:val="0083410C"/>
    <w:rsid w:val="00834E11"/>
    <w:rsid w:val="00840187"/>
    <w:rsid w:val="008425D0"/>
    <w:rsid w:val="00842C15"/>
    <w:rsid w:val="0084334C"/>
    <w:rsid w:val="00843642"/>
    <w:rsid w:val="00844A61"/>
    <w:rsid w:val="00845C9A"/>
    <w:rsid w:val="008469CF"/>
    <w:rsid w:val="0085081F"/>
    <w:rsid w:val="00851368"/>
    <w:rsid w:val="00852869"/>
    <w:rsid w:val="00854867"/>
    <w:rsid w:val="00856DB6"/>
    <w:rsid w:val="008573DE"/>
    <w:rsid w:val="0086024D"/>
    <w:rsid w:val="00860487"/>
    <w:rsid w:val="008613B8"/>
    <w:rsid w:val="00864921"/>
    <w:rsid w:val="008676F3"/>
    <w:rsid w:val="00872276"/>
    <w:rsid w:val="00872439"/>
    <w:rsid w:val="00872816"/>
    <w:rsid w:val="00874E5A"/>
    <w:rsid w:val="0087683D"/>
    <w:rsid w:val="0087713F"/>
    <w:rsid w:val="00881271"/>
    <w:rsid w:val="00882DC0"/>
    <w:rsid w:val="00883CFA"/>
    <w:rsid w:val="00885519"/>
    <w:rsid w:val="00886C09"/>
    <w:rsid w:val="008871BE"/>
    <w:rsid w:val="008875E7"/>
    <w:rsid w:val="00887F56"/>
    <w:rsid w:val="0089005A"/>
    <w:rsid w:val="008909A1"/>
    <w:rsid w:val="0089125E"/>
    <w:rsid w:val="00892B7E"/>
    <w:rsid w:val="00892CE3"/>
    <w:rsid w:val="00895AF0"/>
    <w:rsid w:val="00896C71"/>
    <w:rsid w:val="00896D79"/>
    <w:rsid w:val="00897D59"/>
    <w:rsid w:val="008A005F"/>
    <w:rsid w:val="008A1EFE"/>
    <w:rsid w:val="008A2D1D"/>
    <w:rsid w:val="008A401F"/>
    <w:rsid w:val="008A4B6D"/>
    <w:rsid w:val="008A5583"/>
    <w:rsid w:val="008A6E06"/>
    <w:rsid w:val="008B298E"/>
    <w:rsid w:val="008B2D5E"/>
    <w:rsid w:val="008B37DF"/>
    <w:rsid w:val="008B535E"/>
    <w:rsid w:val="008B564C"/>
    <w:rsid w:val="008B6FD4"/>
    <w:rsid w:val="008C12A6"/>
    <w:rsid w:val="008C1647"/>
    <w:rsid w:val="008C1CF8"/>
    <w:rsid w:val="008C2A67"/>
    <w:rsid w:val="008C3587"/>
    <w:rsid w:val="008C4F77"/>
    <w:rsid w:val="008C5B65"/>
    <w:rsid w:val="008C6F52"/>
    <w:rsid w:val="008D11E6"/>
    <w:rsid w:val="008D3078"/>
    <w:rsid w:val="008D32C6"/>
    <w:rsid w:val="008D3839"/>
    <w:rsid w:val="008D4015"/>
    <w:rsid w:val="008D4DCD"/>
    <w:rsid w:val="008D4E10"/>
    <w:rsid w:val="008D5677"/>
    <w:rsid w:val="008D6489"/>
    <w:rsid w:val="008E002A"/>
    <w:rsid w:val="008E0238"/>
    <w:rsid w:val="008E1598"/>
    <w:rsid w:val="008E3387"/>
    <w:rsid w:val="008E3AE9"/>
    <w:rsid w:val="008E3EFD"/>
    <w:rsid w:val="008E3FF2"/>
    <w:rsid w:val="008E4093"/>
    <w:rsid w:val="008E4468"/>
    <w:rsid w:val="008E4DEC"/>
    <w:rsid w:val="008E4F2B"/>
    <w:rsid w:val="008E55AE"/>
    <w:rsid w:val="008E6929"/>
    <w:rsid w:val="008E7A4E"/>
    <w:rsid w:val="008E7DE7"/>
    <w:rsid w:val="008F1EF5"/>
    <w:rsid w:val="008F3130"/>
    <w:rsid w:val="008F38C7"/>
    <w:rsid w:val="008F3C4D"/>
    <w:rsid w:val="008F5E84"/>
    <w:rsid w:val="009002D5"/>
    <w:rsid w:val="00900C1A"/>
    <w:rsid w:val="00901B2F"/>
    <w:rsid w:val="00901FA8"/>
    <w:rsid w:val="009052FB"/>
    <w:rsid w:val="009070F0"/>
    <w:rsid w:val="00912DF4"/>
    <w:rsid w:val="009170E8"/>
    <w:rsid w:val="009170F7"/>
    <w:rsid w:val="00921962"/>
    <w:rsid w:val="00922425"/>
    <w:rsid w:val="00923A35"/>
    <w:rsid w:val="0092602F"/>
    <w:rsid w:val="00926242"/>
    <w:rsid w:val="009273EC"/>
    <w:rsid w:val="0093116E"/>
    <w:rsid w:val="009322F9"/>
    <w:rsid w:val="0093538A"/>
    <w:rsid w:val="00935744"/>
    <w:rsid w:val="0093583F"/>
    <w:rsid w:val="00936843"/>
    <w:rsid w:val="00940053"/>
    <w:rsid w:val="00940C44"/>
    <w:rsid w:val="0094223C"/>
    <w:rsid w:val="00942D42"/>
    <w:rsid w:val="00942F2E"/>
    <w:rsid w:val="00945A9B"/>
    <w:rsid w:val="00947019"/>
    <w:rsid w:val="00947388"/>
    <w:rsid w:val="009509E9"/>
    <w:rsid w:val="00950C03"/>
    <w:rsid w:val="00951CAF"/>
    <w:rsid w:val="0095219F"/>
    <w:rsid w:val="009525E5"/>
    <w:rsid w:val="00952A72"/>
    <w:rsid w:val="0095595D"/>
    <w:rsid w:val="00955FBB"/>
    <w:rsid w:val="009561FF"/>
    <w:rsid w:val="00956692"/>
    <w:rsid w:val="00957DF4"/>
    <w:rsid w:val="00960E2D"/>
    <w:rsid w:val="00961819"/>
    <w:rsid w:val="00962A11"/>
    <w:rsid w:val="00964535"/>
    <w:rsid w:val="00964B86"/>
    <w:rsid w:val="009704E5"/>
    <w:rsid w:val="009707C5"/>
    <w:rsid w:val="00970FEC"/>
    <w:rsid w:val="009735E6"/>
    <w:rsid w:val="00973B58"/>
    <w:rsid w:val="00973DB7"/>
    <w:rsid w:val="0097446A"/>
    <w:rsid w:val="009744BE"/>
    <w:rsid w:val="009745FE"/>
    <w:rsid w:val="00975B3E"/>
    <w:rsid w:val="00975EE0"/>
    <w:rsid w:val="009770D8"/>
    <w:rsid w:val="00981140"/>
    <w:rsid w:val="009813A9"/>
    <w:rsid w:val="009815CD"/>
    <w:rsid w:val="00981EAD"/>
    <w:rsid w:val="00981EBA"/>
    <w:rsid w:val="0098301A"/>
    <w:rsid w:val="00983636"/>
    <w:rsid w:val="00983A13"/>
    <w:rsid w:val="0098508A"/>
    <w:rsid w:val="0098781B"/>
    <w:rsid w:val="00987A4E"/>
    <w:rsid w:val="0099040F"/>
    <w:rsid w:val="00993A84"/>
    <w:rsid w:val="00994EB9"/>
    <w:rsid w:val="00995920"/>
    <w:rsid w:val="00996B5E"/>
    <w:rsid w:val="009A2FD9"/>
    <w:rsid w:val="009A34F3"/>
    <w:rsid w:val="009A38B6"/>
    <w:rsid w:val="009A78B5"/>
    <w:rsid w:val="009B16EE"/>
    <w:rsid w:val="009B202B"/>
    <w:rsid w:val="009B3C01"/>
    <w:rsid w:val="009B42BB"/>
    <w:rsid w:val="009B438C"/>
    <w:rsid w:val="009B5E8F"/>
    <w:rsid w:val="009B6C74"/>
    <w:rsid w:val="009B73F1"/>
    <w:rsid w:val="009B7482"/>
    <w:rsid w:val="009B7925"/>
    <w:rsid w:val="009B7B5D"/>
    <w:rsid w:val="009C0A16"/>
    <w:rsid w:val="009C48CA"/>
    <w:rsid w:val="009C59A7"/>
    <w:rsid w:val="009C6626"/>
    <w:rsid w:val="009C72D3"/>
    <w:rsid w:val="009D05DF"/>
    <w:rsid w:val="009D1AE9"/>
    <w:rsid w:val="009D2023"/>
    <w:rsid w:val="009D2206"/>
    <w:rsid w:val="009D325B"/>
    <w:rsid w:val="009D36DA"/>
    <w:rsid w:val="009D594F"/>
    <w:rsid w:val="009D624F"/>
    <w:rsid w:val="009D694A"/>
    <w:rsid w:val="009D73BD"/>
    <w:rsid w:val="009E0C7F"/>
    <w:rsid w:val="009E1997"/>
    <w:rsid w:val="009E2AEC"/>
    <w:rsid w:val="009E3EEC"/>
    <w:rsid w:val="009E3EEF"/>
    <w:rsid w:val="009E4092"/>
    <w:rsid w:val="009E443D"/>
    <w:rsid w:val="009E5337"/>
    <w:rsid w:val="009E65DD"/>
    <w:rsid w:val="009F2DBE"/>
    <w:rsid w:val="009F3CD6"/>
    <w:rsid w:val="009F4E9D"/>
    <w:rsid w:val="009F5408"/>
    <w:rsid w:val="009F5514"/>
    <w:rsid w:val="009F6191"/>
    <w:rsid w:val="009F665C"/>
    <w:rsid w:val="009F66A0"/>
    <w:rsid w:val="00A00D72"/>
    <w:rsid w:val="00A015E5"/>
    <w:rsid w:val="00A02632"/>
    <w:rsid w:val="00A06377"/>
    <w:rsid w:val="00A10D55"/>
    <w:rsid w:val="00A13688"/>
    <w:rsid w:val="00A13C1E"/>
    <w:rsid w:val="00A15540"/>
    <w:rsid w:val="00A2102A"/>
    <w:rsid w:val="00A21160"/>
    <w:rsid w:val="00A2183E"/>
    <w:rsid w:val="00A22DA9"/>
    <w:rsid w:val="00A2474F"/>
    <w:rsid w:val="00A253DC"/>
    <w:rsid w:val="00A25B2D"/>
    <w:rsid w:val="00A25BCB"/>
    <w:rsid w:val="00A265CE"/>
    <w:rsid w:val="00A30A91"/>
    <w:rsid w:val="00A31495"/>
    <w:rsid w:val="00A31D5B"/>
    <w:rsid w:val="00A3295F"/>
    <w:rsid w:val="00A33CA3"/>
    <w:rsid w:val="00A33D1E"/>
    <w:rsid w:val="00A34D46"/>
    <w:rsid w:val="00A369A6"/>
    <w:rsid w:val="00A37571"/>
    <w:rsid w:val="00A40368"/>
    <w:rsid w:val="00A4091F"/>
    <w:rsid w:val="00A40B7C"/>
    <w:rsid w:val="00A42A24"/>
    <w:rsid w:val="00A42C4C"/>
    <w:rsid w:val="00A435B6"/>
    <w:rsid w:val="00A43EB7"/>
    <w:rsid w:val="00A44FDC"/>
    <w:rsid w:val="00A45773"/>
    <w:rsid w:val="00A45FEF"/>
    <w:rsid w:val="00A464AC"/>
    <w:rsid w:val="00A5008B"/>
    <w:rsid w:val="00A5029B"/>
    <w:rsid w:val="00A50C9B"/>
    <w:rsid w:val="00A50F5E"/>
    <w:rsid w:val="00A5173B"/>
    <w:rsid w:val="00A56195"/>
    <w:rsid w:val="00A56364"/>
    <w:rsid w:val="00A571D0"/>
    <w:rsid w:val="00A6000E"/>
    <w:rsid w:val="00A60422"/>
    <w:rsid w:val="00A628FA"/>
    <w:rsid w:val="00A63E81"/>
    <w:rsid w:val="00A700D5"/>
    <w:rsid w:val="00A7382F"/>
    <w:rsid w:val="00A75277"/>
    <w:rsid w:val="00A752FE"/>
    <w:rsid w:val="00A76244"/>
    <w:rsid w:val="00A82A6F"/>
    <w:rsid w:val="00A82FE0"/>
    <w:rsid w:val="00A8431B"/>
    <w:rsid w:val="00A8482E"/>
    <w:rsid w:val="00A84F27"/>
    <w:rsid w:val="00A91ABA"/>
    <w:rsid w:val="00A91B91"/>
    <w:rsid w:val="00A91D6B"/>
    <w:rsid w:val="00A948F1"/>
    <w:rsid w:val="00A9535D"/>
    <w:rsid w:val="00A97A29"/>
    <w:rsid w:val="00A97EE2"/>
    <w:rsid w:val="00AA0A98"/>
    <w:rsid w:val="00AA2025"/>
    <w:rsid w:val="00AA2359"/>
    <w:rsid w:val="00AA25B2"/>
    <w:rsid w:val="00AA5AE7"/>
    <w:rsid w:val="00AA7092"/>
    <w:rsid w:val="00AA78DC"/>
    <w:rsid w:val="00AB02A4"/>
    <w:rsid w:val="00AB1270"/>
    <w:rsid w:val="00AB2997"/>
    <w:rsid w:val="00AB3391"/>
    <w:rsid w:val="00AB664E"/>
    <w:rsid w:val="00AB69A9"/>
    <w:rsid w:val="00AB7948"/>
    <w:rsid w:val="00AB7E17"/>
    <w:rsid w:val="00AC039F"/>
    <w:rsid w:val="00AC0F87"/>
    <w:rsid w:val="00AC679B"/>
    <w:rsid w:val="00AD196F"/>
    <w:rsid w:val="00AD4328"/>
    <w:rsid w:val="00AD6239"/>
    <w:rsid w:val="00AD6388"/>
    <w:rsid w:val="00AD7E03"/>
    <w:rsid w:val="00AE3650"/>
    <w:rsid w:val="00AE4035"/>
    <w:rsid w:val="00AE4853"/>
    <w:rsid w:val="00AE4C2D"/>
    <w:rsid w:val="00AE6801"/>
    <w:rsid w:val="00AE6CD7"/>
    <w:rsid w:val="00AE7A55"/>
    <w:rsid w:val="00AF087F"/>
    <w:rsid w:val="00AF0EAF"/>
    <w:rsid w:val="00AF1352"/>
    <w:rsid w:val="00AF1CEF"/>
    <w:rsid w:val="00AF2C54"/>
    <w:rsid w:val="00AF406C"/>
    <w:rsid w:val="00AF4FF7"/>
    <w:rsid w:val="00AF5C86"/>
    <w:rsid w:val="00AF738F"/>
    <w:rsid w:val="00AF73CE"/>
    <w:rsid w:val="00B012F2"/>
    <w:rsid w:val="00B0187F"/>
    <w:rsid w:val="00B034C6"/>
    <w:rsid w:val="00B041F4"/>
    <w:rsid w:val="00B04BD3"/>
    <w:rsid w:val="00B050BD"/>
    <w:rsid w:val="00B0537D"/>
    <w:rsid w:val="00B05CFD"/>
    <w:rsid w:val="00B070CE"/>
    <w:rsid w:val="00B1267E"/>
    <w:rsid w:val="00B128B5"/>
    <w:rsid w:val="00B1307E"/>
    <w:rsid w:val="00B13B33"/>
    <w:rsid w:val="00B14EA7"/>
    <w:rsid w:val="00B159D0"/>
    <w:rsid w:val="00B16275"/>
    <w:rsid w:val="00B2028B"/>
    <w:rsid w:val="00B207B1"/>
    <w:rsid w:val="00B20AB7"/>
    <w:rsid w:val="00B21369"/>
    <w:rsid w:val="00B24FBE"/>
    <w:rsid w:val="00B25B82"/>
    <w:rsid w:val="00B26F08"/>
    <w:rsid w:val="00B327EA"/>
    <w:rsid w:val="00B33732"/>
    <w:rsid w:val="00B33834"/>
    <w:rsid w:val="00B362BB"/>
    <w:rsid w:val="00B366A0"/>
    <w:rsid w:val="00B42F80"/>
    <w:rsid w:val="00B42FD8"/>
    <w:rsid w:val="00B458D2"/>
    <w:rsid w:val="00B50652"/>
    <w:rsid w:val="00B52789"/>
    <w:rsid w:val="00B52B31"/>
    <w:rsid w:val="00B52F65"/>
    <w:rsid w:val="00B53B5C"/>
    <w:rsid w:val="00B55630"/>
    <w:rsid w:val="00B562D9"/>
    <w:rsid w:val="00B56DFA"/>
    <w:rsid w:val="00B57E44"/>
    <w:rsid w:val="00B619B2"/>
    <w:rsid w:val="00B62912"/>
    <w:rsid w:val="00B641F2"/>
    <w:rsid w:val="00B67707"/>
    <w:rsid w:val="00B7196B"/>
    <w:rsid w:val="00B72880"/>
    <w:rsid w:val="00B73125"/>
    <w:rsid w:val="00B73A57"/>
    <w:rsid w:val="00B76B8A"/>
    <w:rsid w:val="00B772DB"/>
    <w:rsid w:val="00B77597"/>
    <w:rsid w:val="00B775A7"/>
    <w:rsid w:val="00B80D86"/>
    <w:rsid w:val="00B8119C"/>
    <w:rsid w:val="00B8124F"/>
    <w:rsid w:val="00B821C6"/>
    <w:rsid w:val="00B835EA"/>
    <w:rsid w:val="00B839C8"/>
    <w:rsid w:val="00B84730"/>
    <w:rsid w:val="00B85C17"/>
    <w:rsid w:val="00B86009"/>
    <w:rsid w:val="00B86BFE"/>
    <w:rsid w:val="00B87DD9"/>
    <w:rsid w:val="00B90386"/>
    <w:rsid w:val="00B90DAF"/>
    <w:rsid w:val="00B92720"/>
    <w:rsid w:val="00B945D5"/>
    <w:rsid w:val="00BA0681"/>
    <w:rsid w:val="00BA0926"/>
    <w:rsid w:val="00BA19EA"/>
    <w:rsid w:val="00BA36AB"/>
    <w:rsid w:val="00BA38CD"/>
    <w:rsid w:val="00BA679D"/>
    <w:rsid w:val="00BA732A"/>
    <w:rsid w:val="00BB06A6"/>
    <w:rsid w:val="00BB0EE5"/>
    <w:rsid w:val="00BB1A88"/>
    <w:rsid w:val="00BB1B23"/>
    <w:rsid w:val="00BB30AB"/>
    <w:rsid w:val="00BB62A9"/>
    <w:rsid w:val="00BB7CA0"/>
    <w:rsid w:val="00BC059D"/>
    <w:rsid w:val="00BC0ABA"/>
    <w:rsid w:val="00BC14C9"/>
    <w:rsid w:val="00BC5D8D"/>
    <w:rsid w:val="00BC6403"/>
    <w:rsid w:val="00BD030B"/>
    <w:rsid w:val="00BD05C4"/>
    <w:rsid w:val="00BD0F4E"/>
    <w:rsid w:val="00BD2469"/>
    <w:rsid w:val="00BD3554"/>
    <w:rsid w:val="00BD3C18"/>
    <w:rsid w:val="00BD3DAB"/>
    <w:rsid w:val="00BD6A4A"/>
    <w:rsid w:val="00BE0D9D"/>
    <w:rsid w:val="00BE223A"/>
    <w:rsid w:val="00BE42B5"/>
    <w:rsid w:val="00BE4709"/>
    <w:rsid w:val="00BE56E7"/>
    <w:rsid w:val="00BE7F33"/>
    <w:rsid w:val="00BF1407"/>
    <w:rsid w:val="00BF2649"/>
    <w:rsid w:val="00BF2A10"/>
    <w:rsid w:val="00BF3949"/>
    <w:rsid w:val="00BF7A75"/>
    <w:rsid w:val="00C029B2"/>
    <w:rsid w:val="00C04F43"/>
    <w:rsid w:val="00C053CE"/>
    <w:rsid w:val="00C05B04"/>
    <w:rsid w:val="00C0607D"/>
    <w:rsid w:val="00C07669"/>
    <w:rsid w:val="00C10594"/>
    <w:rsid w:val="00C11FA2"/>
    <w:rsid w:val="00C16B14"/>
    <w:rsid w:val="00C16C07"/>
    <w:rsid w:val="00C16DF1"/>
    <w:rsid w:val="00C16DFE"/>
    <w:rsid w:val="00C17326"/>
    <w:rsid w:val="00C20FD8"/>
    <w:rsid w:val="00C22435"/>
    <w:rsid w:val="00C23065"/>
    <w:rsid w:val="00C24966"/>
    <w:rsid w:val="00C24AF0"/>
    <w:rsid w:val="00C25023"/>
    <w:rsid w:val="00C2620D"/>
    <w:rsid w:val="00C26A48"/>
    <w:rsid w:val="00C30CAB"/>
    <w:rsid w:val="00C312A6"/>
    <w:rsid w:val="00C33011"/>
    <w:rsid w:val="00C340E1"/>
    <w:rsid w:val="00C35260"/>
    <w:rsid w:val="00C36A01"/>
    <w:rsid w:val="00C42AC6"/>
    <w:rsid w:val="00C518C3"/>
    <w:rsid w:val="00C529E9"/>
    <w:rsid w:val="00C536AE"/>
    <w:rsid w:val="00C5424A"/>
    <w:rsid w:val="00C55F5B"/>
    <w:rsid w:val="00C565DB"/>
    <w:rsid w:val="00C61D7F"/>
    <w:rsid w:val="00C62B2C"/>
    <w:rsid w:val="00C63154"/>
    <w:rsid w:val="00C70484"/>
    <w:rsid w:val="00C70B03"/>
    <w:rsid w:val="00C70F2D"/>
    <w:rsid w:val="00C743AC"/>
    <w:rsid w:val="00C75BD7"/>
    <w:rsid w:val="00C7734F"/>
    <w:rsid w:val="00C80DA2"/>
    <w:rsid w:val="00C82706"/>
    <w:rsid w:val="00C82779"/>
    <w:rsid w:val="00C82A59"/>
    <w:rsid w:val="00C84222"/>
    <w:rsid w:val="00C87016"/>
    <w:rsid w:val="00C8752A"/>
    <w:rsid w:val="00C87F33"/>
    <w:rsid w:val="00C9253C"/>
    <w:rsid w:val="00C92F15"/>
    <w:rsid w:val="00C93119"/>
    <w:rsid w:val="00C934A6"/>
    <w:rsid w:val="00C95248"/>
    <w:rsid w:val="00C95CB5"/>
    <w:rsid w:val="00C95E4E"/>
    <w:rsid w:val="00C95E5D"/>
    <w:rsid w:val="00C95EDC"/>
    <w:rsid w:val="00C96108"/>
    <w:rsid w:val="00C9717D"/>
    <w:rsid w:val="00C97429"/>
    <w:rsid w:val="00CA0A36"/>
    <w:rsid w:val="00CA13B1"/>
    <w:rsid w:val="00CA2D93"/>
    <w:rsid w:val="00CA2F72"/>
    <w:rsid w:val="00CA36EA"/>
    <w:rsid w:val="00CA5E80"/>
    <w:rsid w:val="00CA6A76"/>
    <w:rsid w:val="00CA6BD7"/>
    <w:rsid w:val="00CA7260"/>
    <w:rsid w:val="00CB0D81"/>
    <w:rsid w:val="00CB12F4"/>
    <w:rsid w:val="00CB2796"/>
    <w:rsid w:val="00CB2C07"/>
    <w:rsid w:val="00CB2F38"/>
    <w:rsid w:val="00CB360F"/>
    <w:rsid w:val="00CB399B"/>
    <w:rsid w:val="00CB449D"/>
    <w:rsid w:val="00CB6BA9"/>
    <w:rsid w:val="00CC0037"/>
    <w:rsid w:val="00CC283E"/>
    <w:rsid w:val="00CC2DD1"/>
    <w:rsid w:val="00CC2DE6"/>
    <w:rsid w:val="00CC41B5"/>
    <w:rsid w:val="00CC57ED"/>
    <w:rsid w:val="00CC59CB"/>
    <w:rsid w:val="00CC5B08"/>
    <w:rsid w:val="00CC7632"/>
    <w:rsid w:val="00CC77CB"/>
    <w:rsid w:val="00CD06C1"/>
    <w:rsid w:val="00CD1DF0"/>
    <w:rsid w:val="00CD24C7"/>
    <w:rsid w:val="00CD2EBD"/>
    <w:rsid w:val="00CD4B5B"/>
    <w:rsid w:val="00CD63BE"/>
    <w:rsid w:val="00CD652A"/>
    <w:rsid w:val="00CD68B7"/>
    <w:rsid w:val="00CD7B3C"/>
    <w:rsid w:val="00CD7D62"/>
    <w:rsid w:val="00CD7D80"/>
    <w:rsid w:val="00CE054A"/>
    <w:rsid w:val="00CE0E1C"/>
    <w:rsid w:val="00CE27BB"/>
    <w:rsid w:val="00CE3CBB"/>
    <w:rsid w:val="00CE5873"/>
    <w:rsid w:val="00CE65E5"/>
    <w:rsid w:val="00CE676C"/>
    <w:rsid w:val="00CE70F6"/>
    <w:rsid w:val="00CE77B3"/>
    <w:rsid w:val="00CF13F0"/>
    <w:rsid w:val="00CF3AA1"/>
    <w:rsid w:val="00CF57D1"/>
    <w:rsid w:val="00CF6310"/>
    <w:rsid w:val="00CF72B5"/>
    <w:rsid w:val="00CF7B06"/>
    <w:rsid w:val="00D0135E"/>
    <w:rsid w:val="00D02360"/>
    <w:rsid w:val="00D0446D"/>
    <w:rsid w:val="00D05302"/>
    <w:rsid w:val="00D05F77"/>
    <w:rsid w:val="00D07407"/>
    <w:rsid w:val="00D07D6B"/>
    <w:rsid w:val="00D111F9"/>
    <w:rsid w:val="00D125AA"/>
    <w:rsid w:val="00D12733"/>
    <w:rsid w:val="00D14746"/>
    <w:rsid w:val="00D151B2"/>
    <w:rsid w:val="00D1580B"/>
    <w:rsid w:val="00D22E25"/>
    <w:rsid w:val="00D23658"/>
    <w:rsid w:val="00D26858"/>
    <w:rsid w:val="00D27B68"/>
    <w:rsid w:val="00D31FC1"/>
    <w:rsid w:val="00D32155"/>
    <w:rsid w:val="00D3279E"/>
    <w:rsid w:val="00D32B71"/>
    <w:rsid w:val="00D337A8"/>
    <w:rsid w:val="00D33AC9"/>
    <w:rsid w:val="00D43B02"/>
    <w:rsid w:val="00D4525B"/>
    <w:rsid w:val="00D45974"/>
    <w:rsid w:val="00D46D9A"/>
    <w:rsid w:val="00D46EEA"/>
    <w:rsid w:val="00D47A86"/>
    <w:rsid w:val="00D50962"/>
    <w:rsid w:val="00D50E02"/>
    <w:rsid w:val="00D50F58"/>
    <w:rsid w:val="00D51A79"/>
    <w:rsid w:val="00D5234C"/>
    <w:rsid w:val="00D53DD9"/>
    <w:rsid w:val="00D53FF9"/>
    <w:rsid w:val="00D54440"/>
    <w:rsid w:val="00D55A86"/>
    <w:rsid w:val="00D568D5"/>
    <w:rsid w:val="00D618DE"/>
    <w:rsid w:val="00D621DB"/>
    <w:rsid w:val="00D636DA"/>
    <w:rsid w:val="00D63869"/>
    <w:rsid w:val="00D639C6"/>
    <w:rsid w:val="00D63B64"/>
    <w:rsid w:val="00D642E1"/>
    <w:rsid w:val="00D65AB3"/>
    <w:rsid w:val="00D65B4D"/>
    <w:rsid w:val="00D65EE9"/>
    <w:rsid w:val="00D65FAE"/>
    <w:rsid w:val="00D66059"/>
    <w:rsid w:val="00D672FF"/>
    <w:rsid w:val="00D70818"/>
    <w:rsid w:val="00D71190"/>
    <w:rsid w:val="00D7136A"/>
    <w:rsid w:val="00D71E5C"/>
    <w:rsid w:val="00D721AE"/>
    <w:rsid w:val="00D72BDE"/>
    <w:rsid w:val="00D733A5"/>
    <w:rsid w:val="00D738EF"/>
    <w:rsid w:val="00D73FD9"/>
    <w:rsid w:val="00D74192"/>
    <w:rsid w:val="00D75577"/>
    <w:rsid w:val="00D7716A"/>
    <w:rsid w:val="00D80814"/>
    <w:rsid w:val="00D81723"/>
    <w:rsid w:val="00D844B2"/>
    <w:rsid w:val="00D858F1"/>
    <w:rsid w:val="00D8602C"/>
    <w:rsid w:val="00D86FDC"/>
    <w:rsid w:val="00D87B64"/>
    <w:rsid w:val="00D9133B"/>
    <w:rsid w:val="00D9157D"/>
    <w:rsid w:val="00D91655"/>
    <w:rsid w:val="00D96D8E"/>
    <w:rsid w:val="00D975BC"/>
    <w:rsid w:val="00D97E54"/>
    <w:rsid w:val="00DA034F"/>
    <w:rsid w:val="00DA1500"/>
    <w:rsid w:val="00DA2709"/>
    <w:rsid w:val="00DA3582"/>
    <w:rsid w:val="00DA4524"/>
    <w:rsid w:val="00DB1161"/>
    <w:rsid w:val="00DB2061"/>
    <w:rsid w:val="00DB4A89"/>
    <w:rsid w:val="00DB618B"/>
    <w:rsid w:val="00DB677F"/>
    <w:rsid w:val="00DB690E"/>
    <w:rsid w:val="00DB69E6"/>
    <w:rsid w:val="00DB7427"/>
    <w:rsid w:val="00DB79FD"/>
    <w:rsid w:val="00DC0303"/>
    <w:rsid w:val="00DC03F7"/>
    <w:rsid w:val="00DC178B"/>
    <w:rsid w:val="00DC5D74"/>
    <w:rsid w:val="00DC5F9C"/>
    <w:rsid w:val="00DC6BB7"/>
    <w:rsid w:val="00DC7212"/>
    <w:rsid w:val="00DC7EA4"/>
    <w:rsid w:val="00DD05DF"/>
    <w:rsid w:val="00DD10BA"/>
    <w:rsid w:val="00DD2A3A"/>
    <w:rsid w:val="00DD399E"/>
    <w:rsid w:val="00DD4304"/>
    <w:rsid w:val="00DD441C"/>
    <w:rsid w:val="00DD4833"/>
    <w:rsid w:val="00DD49F9"/>
    <w:rsid w:val="00DD579C"/>
    <w:rsid w:val="00DD6BCB"/>
    <w:rsid w:val="00DD7B6F"/>
    <w:rsid w:val="00DD7BC7"/>
    <w:rsid w:val="00DD7D32"/>
    <w:rsid w:val="00DE1677"/>
    <w:rsid w:val="00DE43AF"/>
    <w:rsid w:val="00DE45BC"/>
    <w:rsid w:val="00DE4AD6"/>
    <w:rsid w:val="00DE507C"/>
    <w:rsid w:val="00DE5C53"/>
    <w:rsid w:val="00DE6B90"/>
    <w:rsid w:val="00DE6C1C"/>
    <w:rsid w:val="00DF0A15"/>
    <w:rsid w:val="00DF0AAB"/>
    <w:rsid w:val="00DF12D7"/>
    <w:rsid w:val="00DF1866"/>
    <w:rsid w:val="00DF3B5B"/>
    <w:rsid w:val="00DF405D"/>
    <w:rsid w:val="00DF6275"/>
    <w:rsid w:val="00DF76EB"/>
    <w:rsid w:val="00DF7C6D"/>
    <w:rsid w:val="00E018BF"/>
    <w:rsid w:val="00E0213D"/>
    <w:rsid w:val="00E02B0F"/>
    <w:rsid w:val="00E04FEC"/>
    <w:rsid w:val="00E05086"/>
    <w:rsid w:val="00E10961"/>
    <w:rsid w:val="00E10CB8"/>
    <w:rsid w:val="00E10DA6"/>
    <w:rsid w:val="00E1161A"/>
    <w:rsid w:val="00E143B9"/>
    <w:rsid w:val="00E14647"/>
    <w:rsid w:val="00E149D2"/>
    <w:rsid w:val="00E15E40"/>
    <w:rsid w:val="00E15F22"/>
    <w:rsid w:val="00E16886"/>
    <w:rsid w:val="00E16CD5"/>
    <w:rsid w:val="00E200AF"/>
    <w:rsid w:val="00E20477"/>
    <w:rsid w:val="00E20C21"/>
    <w:rsid w:val="00E219C8"/>
    <w:rsid w:val="00E23522"/>
    <w:rsid w:val="00E236DD"/>
    <w:rsid w:val="00E23B94"/>
    <w:rsid w:val="00E2495F"/>
    <w:rsid w:val="00E24F9E"/>
    <w:rsid w:val="00E25FE1"/>
    <w:rsid w:val="00E263F0"/>
    <w:rsid w:val="00E272C2"/>
    <w:rsid w:val="00E27A71"/>
    <w:rsid w:val="00E306EA"/>
    <w:rsid w:val="00E31CD0"/>
    <w:rsid w:val="00E31E33"/>
    <w:rsid w:val="00E3662B"/>
    <w:rsid w:val="00E37E5A"/>
    <w:rsid w:val="00E401D2"/>
    <w:rsid w:val="00E4116E"/>
    <w:rsid w:val="00E420F3"/>
    <w:rsid w:val="00E42E3C"/>
    <w:rsid w:val="00E443DA"/>
    <w:rsid w:val="00E4453D"/>
    <w:rsid w:val="00E44720"/>
    <w:rsid w:val="00E44FFD"/>
    <w:rsid w:val="00E5039C"/>
    <w:rsid w:val="00E5218D"/>
    <w:rsid w:val="00E524E7"/>
    <w:rsid w:val="00E54055"/>
    <w:rsid w:val="00E54913"/>
    <w:rsid w:val="00E55BB8"/>
    <w:rsid w:val="00E56CB4"/>
    <w:rsid w:val="00E620F4"/>
    <w:rsid w:val="00E628BB"/>
    <w:rsid w:val="00E62C9D"/>
    <w:rsid w:val="00E64D88"/>
    <w:rsid w:val="00E65702"/>
    <w:rsid w:val="00E70C92"/>
    <w:rsid w:val="00E7106F"/>
    <w:rsid w:val="00E72BB1"/>
    <w:rsid w:val="00E72C52"/>
    <w:rsid w:val="00E72F11"/>
    <w:rsid w:val="00E73A4D"/>
    <w:rsid w:val="00E7425D"/>
    <w:rsid w:val="00E74427"/>
    <w:rsid w:val="00E75EDD"/>
    <w:rsid w:val="00E7613C"/>
    <w:rsid w:val="00E76C43"/>
    <w:rsid w:val="00E77C4C"/>
    <w:rsid w:val="00E77FDD"/>
    <w:rsid w:val="00E819EA"/>
    <w:rsid w:val="00E8251A"/>
    <w:rsid w:val="00E8388E"/>
    <w:rsid w:val="00E85948"/>
    <w:rsid w:val="00E87735"/>
    <w:rsid w:val="00E9042C"/>
    <w:rsid w:val="00E912ED"/>
    <w:rsid w:val="00E916CD"/>
    <w:rsid w:val="00E9218C"/>
    <w:rsid w:val="00E9295A"/>
    <w:rsid w:val="00E9598F"/>
    <w:rsid w:val="00E95C81"/>
    <w:rsid w:val="00E95F24"/>
    <w:rsid w:val="00E96DD1"/>
    <w:rsid w:val="00E96F5F"/>
    <w:rsid w:val="00E97E5E"/>
    <w:rsid w:val="00EA199E"/>
    <w:rsid w:val="00EA3C72"/>
    <w:rsid w:val="00EA47C5"/>
    <w:rsid w:val="00EA7B76"/>
    <w:rsid w:val="00EB26F1"/>
    <w:rsid w:val="00EB2906"/>
    <w:rsid w:val="00EB416C"/>
    <w:rsid w:val="00EB5750"/>
    <w:rsid w:val="00EB5987"/>
    <w:rsid w:val="00EB62FE"/>
    <w:rsid w:val="00EB6344"/>
    <w:rsid w:val="00EB6AAA"/>
    <w:rsid w:val="00EB7FC4"/>
    <w:rsid w:val="00EC0E29"/>
    <w:rsid w:val="00EC0E2F"/>
    <w:rsid w:val="00EC3831"/>
    <w:rsid w:val="00EC3E8A"/>
    <w:rsid w:val="00EC4018"/>
    <w:rsid w:val="00EC4C2D"/>
    <w:rsid w:val="00EC51A5"/>
    <w:rsid w:val="00EC7FC2"/>
    <w:rsid w:val="00ED0068"/>
    <w:rsid w:val="00ED430E"/>
    <w:rsid w:val="00ED4C76"/>
    <w:rsid w:val="00ED5AEA"/>
    <w:rsid w:val="00EE0AA7"/>
    <w:rsid w:val="00EE1B97"/>
    <w:rsid w:val="00EE3B18"/>
    <w:rsid w:val="00EE47B8"/>
    <w:rsid w:val="00EF1463"/>
    <w:rsid w:val="00EF2C48"/>
    <w:rsid w:val="00EF327A"/>
    <w:rsid w:val="00EF3550"/>
    <w:rsid w:val="00EF3B7E"/>
    <w:rsid w:val="00EF44AB"/>
    <w:rsid w:val="00EF44B0"/>
    <w:rsid w:val="00EF48BD"/>
    <w:rsid w:val="00EF58C9"/>
    <w:rsid w:val="00EF5A67"/>
    <w:rsid w:val="00EF5B80"/>
    <w:rsid w:val="00EF5C44"/>
    <w:rsid w:val="00EF5F3D"/>
    <w:rsid w:val="00EF7421"/>
    <w:rsid w:val="00EF750F"/>
    <w:rsid w:val="00EF7523"/>
    <w:rsid w:val="00EF7804"/>
    <w:rsid w:val="00EF7AC3"/>
    <w:rsid w:val="00EF7C2C"/>
    <w:rsid w:val="00F00145"/>
    <w:rsid w:val="00F03634"/>
    <w:rsid w:val="00F0581A"/>
    <w:rsid w:val="00F06B34"/>
    <w:rsid w:val="00F07E83"/>
    <w:rsid w:val="00F12E7A"/>
    <w:rsid w:val="00F12E9F"/>
    <w:rsid w:val="00F13F16"/>
    <w:rsid w:val="00F14A8C"/>
    <w:rsid w:val="00F15467"/>
    <w:rsid w:val="00F16C58"/>
    <w:rsid w:val="00F21166"/>
    <w:rsid w:val="00F215A4"/>
    <w:rsid w:val="00F2197A"/>
    <w:rsid w:val="00F21AF0"/>
    <w:rsid w:val="00F239F8"/>
    <w:rsid w:val="00F23E23"/>
    <w:rsid w:val="00F24602"/>
    <w:rsid w:val="00F26307"/>
    <w:rsid w:val="00F273F6"/>
    <w:rsid w:val="00F27763"/>
    <w:rsid w:val="00F3105C"/>
    <w:rsid w:val="00F31639"/>
    <w:rsid w:val="00F31F75"/>
    <w:rsid w:val="00F33010"/>
    <w:rsid w:val="00F33874"/>
    <w:rsid w:val="00F33EE0"/>
    <w:rsid w:val="00F34232"/>
    <w:rsid w:val="00F353A6"/>
    <w:rsid w:val="00F43C57"/>
    <w:rsid w:val="00F44A8E"/>
    <w:rsid w:val="00F45A38"/>
    <w:rsid w:val="00F474E0"/>
    <w:rsid w:val="00F5101A"/>
    <w:rsid w:val="00F51391"/>
    <w:rsid w:val="00F5270A"/>
    <w:rsid w:val="00F53FBF"/>
    <w:rsid w:val="00F54DCD"/>
    <w:rsid w:val="00F56FD1"/>
    <w:rsid w:val="00F57E16"/>
    <w:rsid w:val="00F60084"/>
    <w:rsid w:val="00F6017C"/>
    <w:rsid w:val="00F60DD4"/>
    <w:rsid w:val="00F60E55"/>
    <w:rsid w:val="00F6349F"/>
    <w:rsid w:val="00F637D6"/>
    <w:rsid w:val="00F6417D"/>
    <w:rsid w:val="00F658BA"/>
    <w:rsid w:val="00F7048F"/>
    <w:rsid w:val="00F70D0E"/>
    <w:rsid w:val="00F72C1A"/>
    <w:rsid w:val="00F72DA6"/>
    <w:rsid w:val="00F7327F"/>
    <w:rsid w:val="00F73787"/>
    <w:rsid w:val="00F739A9"/>
    <w:rsid w:val="00F73ACC"/>
    <w:rsid w:val="00F74673"/>
    <w:rsid w:val="00F7489E"/>
    <w:rsid w:val="00F74E26"/>
    <w:rsid w:val="00F75BE5"/>
    <w:rsid w:val="00F80D78"/>
    <w:rsid w:val="00F81060"/>
    <w:rsid w:val="00F81558"/>
    <w:rsid w:val="00F8506D"/>
    <w:rsid w:val="00F8556F"/>
    <w:rsid w:val="00F85FA8"/>
    <w:rsid w:val="00F8657F"/>
    <w:rsid w:val="00F86815"/>
    <w:rsid w:val="00F86BA5"/>
    <w:rsid w:val="00F8788F"/>
    <w:rsid w:val="00F87A6D"/>
    <w:rsid w:val="00F92EA8"/>
    <w:rsid w:val="00F93369"/>
    <w:rsid w:val="00F94CFB"/>
    <w:rsid w:val="00F95652"/>
    <w:rsid w:val="00F9640D"/>
    <w:rsid w:val="00F9756F"/>
    <w:rsid w:val="00FA01B1"/>
    <w:rsid w:val="00FA27BD"/>
    <w:rsid w:val="00FA39D5"/>
    <w:rsid w:val="00FA42AD"/>
    <w:rsid w:val="00FA6002"/>
    <w:rsid w:val="00FA6989"/>
    <w:rsid w:val="00FB11BA"/>
    <w:rsid w:val="00FB2D74"/>
    <w:rsid w:val="00FB45D0"/>
    <w:rsid w:val="00FB7246"/>
    <w:rsid w:val="00FC1508"/>
    <w:rsid w:val="00FC1A14"/>
    <w:rsid w:val="00FC1A5A"/>
    <w:rsid w:val="00FC344A"/>
    <w:rsid w:val="00FC3F07"/>
    <w:rsid w:val="00FC72E9"/>
    <w:rsid w:val="00FD1540"/>
    <w:rsid w:val="00FD2D1F"/>
    <w:rsid w:val="00FD38CD"/>
    <w:rsid w:val="00FD3A31"/>
    <w:rsid w:val="00FD4746"/>
    <w:rsid w:val="00FD611B"/>
    <w:rsid w:val="00FD70F0"/>
    <w:rsid w:val="00FD72AA"/>
    <w:rsid w:val="00FD7857"/>
    <w:rsid w:val="00FE3DB8"/>
    <w:rsid w:val="00FE423B"/>
    <w:rsid w:val="00FE46B3"/>
    <w:rsid w:val="00FE48FC"/>
    <w:rsid w:val="00FE565F"/>
    <w:rsid w:val="00FE6CC1"/>
    <w:rsid w:val="00FE7B9C"/>
    <w:rsid w:val="00FE7FF6"/>
    <w:rsid w:val="00FF1DD3"/>
    <w:rsid w:val="00FF254F"/>
    <w:rsid w:val="00FF4395"/>
    <w:rsid w:val="00FF4908"/>
    <w:rsid w:val="00FF4B3D"/>
    <w:rsid w:val="00FF58BC"/>
    <w:rsid w:val="00FF6799"/>
    <w:rsid w:val="00FF6E90"/>
    <w:rsid w:val="00FF6EA4"/>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E6EF3"/>
  <w15:docId w15:val="{70D3DA66-DE7F-4FFA-8E16-BD5CDC5D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46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6F6EDE1B-8149-475F-B310-F56858F0AC47}">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48</Pages>
  <Words>12224</Words>
  <Characters>71511</Characters>
  <Application>Microsoft Office Word</Application>
  <DocSecurity>0</DocSecurity>
  <Lines>4469</Lines>
  <Paragraphs>2701</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81034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subject/>
  <dc:creator>Rocio</dc:creator>
  <cp:keywords/>
  <dc:description/>
  <cp:lastModifiedBy>Andrew Herlihy</cp:lastModifiedBy>
  <cp:revision>5</cp:revision>
  <dcterms:created xsi:type="dcterms:W3CDTF">2026-02-02T14:18:00Z</dcterms:created>
  <dcterms:modified xsi:type="dcterms:W3CDTF">2026-02-02T15:37:00Z</dcterms:modified>
</cp:coreProperties>
</file>